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06B2" w14:textId="77777777" w:rsidR="000E1D47" w:rsidRPr="00851805" w:rsidRDefault="00AE2FA8" w:rsidP="000253F8">
      <w:pPr>
        <w:jc w:val="center"/>
        <w:rPr>
          <w:rStyle w:val="a7"/>
          <w:rFonts w:eastAsia="標楷體" w:cs="Times New Roman"/>
          <w:bCs w:val="0"/>
          <w:sz w:val="48"/>
          <w:szCs w:val="40"/>
        </w:rPr>
      </w:pPr>
      <w:r w:rsidRPr="00851805">
        <w:rPr>
          <w:rStyle w:val="a7"/>
          <w:rFonts w:eastAsia="標楷體" w:cs="Times New Roman"/>
          <w:bCs w:val="0"/>
          <w:sz w:val="48"/>
          <w:szCs w:val="40"/>
        </w:rPr>
        <w:t>Best Education-KDP</w:t>
      </w:r>
    </w:p>
    <w:p w14:paraId="4FB090E9" w14:textId="77777777"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w:t>
      </w:r>
      <w:r w:rsidR="00851805">
        <w:rPr>
          <w:rStyle w:val="a7"/>
          <w:rFonts w:eastAsia="標楷體" w:cs="Times New Roman"/>
          <w:bCs w:val="0"/>
          <w:sz w:val="40"/>
          <w:szCs w:val="40"/>
        </w:rPr>
        <w:t>21</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14:paraId="43B427F7"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716E0917" w14:textId="77777777"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14:paraId="255FB9CF" w14:textId="77777777" w:rsidR="006106CD" w:rsidRDefault="006106CD" w:rsidP="00B3076A">
      <w:pPr>
        <w:pStyle w:val="a8"/>
        <w:spacing w:beforeLines="50" w:before="120"/>
        <w:ind w:leftChars="0"/>
        <w:rPr>
          <w:rFonts w:eastAsia="標楷體"/>
          <w:bCs/>
          <w:szCs w:val="24"/>
        </w:rPr>
      </w:pPr>
    </w:p>
    <w:p w14:paraId="6467F6D0"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037487BF"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14:paraId="2888595E" w14:textId="77777777"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14:paraId="11D940B8" w14:textId="77777777"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14:paraId="569496F4" w14:textId="77777777" w:rsidR="006106CD" w:rsidRPr="00E60901" w:rsidRDefault="006106CD" w:rsidP="006106CD">
      <w:pPr>
        <w:snapToGrid w:val="0"/>
        <w:spacing w:line="440" w:lineRule="exact"/>
        <w:ind w:left="851"/>
        <w:jc w:val="both"/>
        <w:rPr>
          <w:rFonts w:ascii="標楷體" w:eastAsia="標楷體" w:hAnsi="標楷體"/>
        </w:rPr>
      </w:pPr>
    </w:p>
    <w:p w14:paraId="1D6FECC1" w14:textId="77777777"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69DA60FB" w14:textId="77777777"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14:paraId="79C77836" w14:textId="77777777"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14:paraId="745BB98F" w14:textId="77777777"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14:paraId="7DEA8C38" w14:textId="77777777"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14:paraId="2A12487D" w14:textId="77777777" w:rsidR="00446BC7" w:rsidRPr="009F7FCD" w:rsidRDefault="00446BC7" w:rsidP="00851805">
      <w:pPr>
        <w:pStyle w:val="a8"/>
        <w:ind w:leftChars="0" w:left="482"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roofErr w:type="gramStart"/>
      <w:r w:rsidRPr="009F7FCD">
        <w:rPr>
          <w:rFonts w:eastAsia="標楷體" w:hint="eastAsia"/>
          <w:bCs/>
          <w:szCs w:val="24"/>
        </w:rPr>
        <w:t>）</w:t>
      </w:r>
      <w:proofErr w:type="gramEnd"/>
      <w:r w:rsidRPr="009F7FCD">
        <w:rPr>
          <w:rFonts w:eastAsia="標楷體" w:hint="eastAsia"/>
          <w:bCs/>
          <w:szCs w:val="24"/>
        </w:rPr>
        <w:t>。</w:t>
      </w:r>
    </w:p>
    <w:p w14:paraId="1A73BEE6" w14:textId="77777777" w:rsidR="006106CD" w:rsidRPr="00446BC7" w:rsidRDefault="006106CD" w:rsidP="00AC193D">
      <w:pPr>
        <w:pStyle w:val="a8"/>
        <w:ind w:leftChars="0"/>
        <w:rPr>
          <w:rFonts w:ascii="標楷體" w:eastAsia="標楷體" w:hAnsi="標楷體"/>
        </w:rPr>
      </w:pPr>
    </w:p>
    <w:p w14:paraId="656F4F13" w14:textId="77777777"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14:paraId="73CCA8EF" w14:textId="77777777" w:rsidTr="00CC4913">
        <w:tc>
          <w:tcPr>
            <w:tcW w:w="1596" w:type="dxa"/>
          </w:tcPr>
          <w:p w14:paraId="7A397DB7"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14:paraId="0A98D251" w14:textId="77777777"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14:paraId="23C91238" w14:textId="77777777"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14:paraId="089F20BD" w14:textId="77777777" w:rsidTr="00851805">
        <w:tc>
          <w:tcPr>
            <w:tcW w:w="1596" w:type="dxa"/>
            <w:vAlign w:val="center"/>
          </w:tcPr>
          <w:p w14:paraId="0D79DAAE"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16C6F073" w14:textId="77777777"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690317D5" w14:textId="77777777"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36B63F17"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14:paraId="6644964D" w14:textId="77777777" w:rsidTr="00851805">
        <w:trPr>
          <w:trHeight w:val="440"/>
        </w:trPr>
        <w:tc>
          <w:tcPr>
            <w:tcW w:w="1596" w:type="dxa"/>
            <w:vAlign w:val="center"/>
          </w:tcPr>
          <w:p w14:paraId="5BB79BCB"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2DE0B03C"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14:paraId="1FD5C072" w14:textId="77777777"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14:paraId="425263F7" w14:textId="77777777" w:rsidTr="00851805">
        <w:trPr>
          <w:trHeight w:val="418"/>
        </w:trPr>
        <w:tc>
          <w:tcPr>
            <w:tcW w:w="1596" w:type="dxa"/>
            <w:vAlign w:val="center"/>
          </w:tcPr>
          <w:p w14:paraId="7046ED59"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C0C6651" w14:textId="77777777"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14:paraId="32BE1C59"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14:paraId="5581A0DD" w14:textId="77777777" w:rsidTr="00851805">
        <w:trPr>
          <w:trHeight w:val="410"/>
        </w:trPr>
        <w:tc>
          <w:tcPr>
            <w:tcW w:w="1596" w:type="dxa"/>
            <w:vAlign w:val="center"/>
          </w:tcPr>
          <w:p w14:paraId="6DD1C834"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23FA6C0D"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90FFD9F" w14:textId="77777777"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14:paraId="2F0B79FA" w14:textId="77777777" w:rsidTr="00851805">
        <w:trPr>
          <w:trHeight w:val="415"/>
        </w:trPr>
        <w:tc>
          <w:tcPr>
            <w:tcW w:w="1596" w:type="dxa"/>
            <w:vAlign w:val="center"/>
          </w:tcPr>
          <w:p w14:paraId="690531E6" w14:textId="77777777"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075828D0" w14:textId="77777777"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14:paraId="5C226863" w14:textId="77777777" w:rsidR="00C35EAD" w:rsidRPr="00C35EAD" w:rsidRDefault="00C223AD" w:rsidP="00851805">
            <w:pPr>
              <w:pStyle w:val="a8"/>
              <w:ind w:leftChars="0" w:left="0"/>
              <w:jc w:val="center"/>
              <w:rPr>
                <w:rFonts w:eastAsia="標楷體" w:hAnsi="標楷體"/>
              </w:rPr>
            </w:pPr>
            <w:r>
              <w:rPr>
                <w:rFonts w:eastAsia="標楷體" w:hAnsi="標楷體" w:hint="eastAsia"/>
              </w:rPr>
              <w:t>獎</w:t>
            </w:r>
            <w:r w:rsidR="00851805">
              <w:rPr>
                <w:rFonts w:eastAsia="標楷體" w:hAnsi="標楷體" w:hint="eastAsia"/>
              </w:rPr>
              <w:t>每人一張</w:t>
            </w:r>
            <w:r>
              <w:rPr>
                <w:rFonts w:eastAsia="標楷體" w:hAnsi="標楷體" w:hint="eastAsia"/>
              </w:rPr>
              <w:t>狀</w:t>
            </w:r>
          </w:p>
        </w:tc>
      </w:tr>
    </w:tbl>
    <w:p w14:paraId="665347C1" w14:textId="77777777" w:rsidR="000E1D47" w:rsidRDefault="00851805" w:rsidP="00851805">
      <w:pPr>
        <w:spacing w:line="300" w:lineRule="exact"/>
        <w:rPr>
          <w:rFonts w:eastAsia="標楷體" w:hAnsi="標楷體"/>
        </w:rPr>
      </w:pPr>
      <w:r>
        <w:rPr>
          <w:rFonts w:eastAsia="標楷體" w:hAnsi="標楷體" w:hint="eastAsia"/>
        </w:rPr>
        <w:t xml:space="preserve">     </w:t>
      </w:r>
      <w:proofErr w:type="gramStart"/>
      <w:r w:rsidR="00B96828">
        <w:rPr>
          <w:rFonts w:eastAsia="標楷體" w:hAnsi="標楷體" w:hint="eastAsia"/>
        </w:rPr>
        <w:t>註</w:t>
      </w:r>
      <w:proofErr w:type="gramEnd"/>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14:paraId="23F4B273" w14:textId="77777777"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7D6E9880" w14:textId="77777777" w:rsidR="00B96828" w:rsidRPr="00B96828" w:rsidRDefault="00B96828" w:rsidP="00B96828">
      <w:pPr>
        <w:spacing w:line="300" w:lineRule="exact"/>
        <w:rPr>
          <w:rFonts w:eastAsia="標楷體" w:hAnsi="標楷體"/>
          <w:szCs w:val="24"/>
        </w:rPr>
      </w:pPr>
      <w:r>
        <w:rPr>
          <w:rFonts w:eastAsia="標楷體" w:hAnsi="標楷體" w:hint="eastAsia"/>
        </w:rPr>
        <w:t xml:space="preserve">     </w:t>
      </w:r>
      <w:proofErr w:type="gramStart"/>
      <w:r w:rsidRPr="00B96828">
        <w:rPr>
          <w:rFonts w:eastAsia="標楷體" w:hAnsi="標楷體" w:hint="eastAsia"/>
        </w:rPr>
        <w:t>註</w:t>
      </w:r>
      <w:proofErr w:type="gramEnd"/>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16DD6595" w14:textId="77777777" w:rsidR="00B96828" w:rsidRDefault="00FD6561" w:rsidP="00851805">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3: </w:t>
      </w:r>
      <w:r>
        <w:rPr>
          <w:rFonts w:eastAsia="標楷體" w:hAnsi="標楷體" w:hint="eastAsia"/>
        </w:rPr>
        <w:t>榮獲標竿獎及</w:t>
      </w:r>
      <w:proofErr w:type="gramStart"/>
      <w:r>
        <w:rPr>
          <w:rFonts w:eastAsia="標楷體" w:hAnsi="標楷體" w:hint="eastAsia"/>
        </w:rPr>
        <w:t>特優獎</w:t>
      </w:r>
      <w:r w:rsidRPr="00E60901">
        <w:rPr>
          <w:rFonts w:eastAsia="標楷體" w:hAnsi="標楷體" w:hint="eastAsia"/>
        </w:rPr>
        <w:t>未出席</w:t>
      </w:r>
      <w:proofErr w:type="gramEnd"/>
      <w:r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14:paraId="468EBB01" w14:textId="77777777" w:rsidR="00FD6561" w:rsidRPr="00B96828" w:rsidRDefault="00FD6561" w:rsidP="00851805">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4: </w:t>
      </w:r>
      <w:r>
        <w:rPr>
          <w:rFonts w:eastAsia="標楷體" w:hAnsi="標楷體" w:hint="eastAsia"/>
        </w:rPr>
        <w:t>依據行政院經費報支相關規定，獎金</w:t>
      </w:r>
      <w:proofErr w:type="gramStart"/>
      <w:r>
        <w:rPr>
          <w:rFonts w:eastAsia="標楷體" w:hAnsi="標楷體" w:hint="eastAsia"/>
        </w:rPr>
        <w:t>採</w:t>
      </w:r>
      <w:proofErr w:type="gramEnd"/>
      <w:r>
        <w:rPr>
          <w:rFonts w:eastAsia="標楷體" w:hAnsi="標楷體" w:hint="eastAsia"/>
        </w:rPr>
        <w:t>商品禮券</w:t>
      </w:r>
      <w:r>
        <w:rPr>
          <w:rFonts w:eastAsia="標楷體" w:hAnsi="標楷體" w:hint="eastAsia"/>
        </w:rPr>
        <w:t>.</w:t>
      </w:r>
      <w:r>
        <w:rPr>
          <w:rFonts w:eastAsia="標楷體" w:hAnsi="標楷體" w:hint="eastAsia"/>
        </w:rPr>
        <w:t>商品卡或禮物卡發放。</w:t>
      </w:r>
    </w:p>
    <w:p w14:paraId="6CA8DFD7" w14:textId="77777777" w:rsidR="006106CD" w:rsidRDefault="006106CD" w:rsidP="000253F8">
      <w:pPr>
        <w:pStyle w:val="a8"/>
        <w:ind w:leftChars="0" w:left="1276"/>
        <w:rPr>
          <w:rFonts w:eastAsia="標楷體" w:hAnsi="標楷體"/>
          <w:color w:val="000000" w:themeColor="text1"/>
          <w:szCs w:val="24"/>
        </w:rPr>
      </w:pPr>
    </w:p>
    <w:p w14:paraId="25A02A14" w14:textId="77777777" w:rsidR="00FD6561" w:rsidRDefault="00FD6561">
      <w:pPr>
        <w:widowControl/>
        <w:rPr>
          <w:rFonts w:ascii="標楷體" w:eastAsia="標楷體" w:hAnsi="標楷體"/>
          <w:b/>
          <w:sz w:val="28"/>
        </w:rPr>
      </w:pPr>
      <w:r>
        <w:rPr>
          <w:rFonts w:ascii="標楷體" w:eastAsia="標楷體" w:hAnsi="標楷體"/>
          <w:b/>
          <w:sz w:val="28"/>
        </w:rPr>
        <w:br w:type="page"/>
      </w:r>
    </w:p>
    <w:p w14:paraId="0C7AF532" w14:textId="77777777"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14:paraId="641D2DEB" w14:textId="77777777"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14:paraId="4E777766" w14:textId="77777777"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582C5487" w14:textId="77777777"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14:paraId="37B39C08" w14:textId="77777777"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14:paraId="0075A259" w14:textId="77777777"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14:paraId="3BE1CFBA" w14:textId="77777777"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14:paraId="60EAF088" w14:textId="77777777"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14:paraId="301A6E2B" w14:textId="77777777" w:rsidR="006106CD" w:rsidRDefault="006106CD" w:rsidP="00B3076A">
      <w:pPr>
        <w:pStyle w:val="a8"/>
        <w:spacing w:beforeLines="50" w:before="120"/>
        <w:ind w:leftChars="0"/>
        <w:rPr>
          <w:rFonts w:ascii="標楷體" w:eastAsia="標楷體" w:hAnsi="標楷體"/>
          <w:b/>
        </w:rPr>
      </w:pPr>
    </w:p>
    <w:p w14:paraId="01013C85"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277B6614" w14:textId="77777777"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14:paraId="50FE5C33"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07C3BD" w14:textId="77777777"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8ED110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B2EFCB"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21</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0A605B5"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C35A4C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14:paraId="59650E14" w14:textId="77777777"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923F36F" w14:textId="77777777"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3EBA2D" w14:textId="77777777"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8790374" w14:textId="77777777" w:rsidR="001D1F2A" w:rsidRPr="001D1F2A" w:rsidRDefault="001D1F2A" w:rsidP="00107D27">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58627F8" w14:textId="77777777"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B85A18" w14:textId="77777777" w:rsidR="001D1F2A" w:rsidRPr="001D1F2A" w:rsidRDefault="001D1F2A" w:rsidP="001D1F2A">
            <w:pPr>
              <w:widowControl/>
              <w:jc w:val="center"/>
              <w:rPr>
                <w:rFonts w:ascii="標楷體" w:eastAsia="標楷體" w:hAnsi="標楷體" w:cs="新細明體"/>
                <w:b/>
                <w:bCs/>
                <w:kern w:val="0"/>
                <w:szCs w:val="24"/>
              </w:rPr>
            </w:pPr>
          </w:p>
        </w:tc>
      </w:tr>
      <w:tr w:rsidR="001D1F2A" w:rsidRPr="001D1F2A" w14:paraId="1DA5A935"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4D9FA6C"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8BCF5"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225AD91"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107D27">
              <w:rPr>
                <w:rFonts w:ascii="標楷體" w:eastAsia="標楷體" w:hAnsi="標楷體" w:cs="新細明體" w:hint="eastAsia"/>
                <w:kern w:val="0"/>
                <w:szCs w:val="24"/>
              </w:rPr>
              <w:t>四</w:t>
            </w:r>
            <w:r w:rsidRPr="001D1F2A">
              <w:rPr>
                <w:rFonts w:ascii="標楷體" w:eastAsia="標楷體" w:hAnsi="標楷體" w:cs="新細明體" w:hint="eastAsia"/>
                <w:kern w:val="0"/>
                <w:szCs w:val="24"/>
              </w:rPr>
              <w:t>）起</w:t>
            </w:r>
          </w:p>
          <w:p w14:paraId="4A804DBF"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369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A619BDF"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14:paraId="55DAC61C"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7591F02"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10777E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68EB8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14:paraId="2C543D95"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107D27">
              <w:rPr>
                <w:rFonts w:ascii="標楷體" w:eastAsia="標楷體" w:hAnsi="標楷體" w:cs="新細明體" w:hint="eastAsia"/>
                <w:kern w:val="0"/>
                <w:szCs w:val="24"/>
              </w:rPr>
              <w:t>4</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6CB3DF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E1424F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7051E611" w14:textId="77777777" w:rsidTr="00107D27">
        <w:trPr>
          <w:trHeight w:val="48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4EF0AB8"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7B19ED"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9E4DDA"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61D52D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013B6E"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159F8ED7"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10F404BA"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66126F"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2DE155F" w14:textId="77777777" w:rsidR="001D1F2A" w:rsidRPr="001D1F2A" w:rsidRDefault="001D1F2A" w:rsidP="00107D27">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107D27">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）起至6月1</w:t>
            </w:r>
            <w:r w:rsidR="00107D27">
              <w:rPr>
                <w:rFonts w:ascii="標楷體" w:eastAsia="標楷體" w:hAnsi="標楷體" w:cs="新細明體" w:hint="eastAsia"/>
                <w:kern w:val="0"/>
                <w:szCs w:val="24"/>
              </w:rPr>
              <w:t>8</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E6D0D3"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14:paraId="4DE61D79"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14:paraId="1005773D"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BC0F31"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14:paraId="4ECCEF50"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5377EE3"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D0B877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1E5867CD"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6月</w:t>
            </w:r>
            <w:r w:rsidR="00107D27">
              <w:rPr>
                <w:rFonts w:ascii="標楷體" w:eastAsia="標楷體" w:hAnsi="標楷體" w:cs="新細明體" w:hint="eastAsia"/>
                <w:kern w:val="0"/>
                <w:szCs w:val="24"/>
              </w:rPr>
              <w:t>23</w:t>
            </w:r>
            <w:r w:rsidRPr="001D1F2A">
              <w:rPr>
                <w:rFonts w:ascii="標楷體" w:eastAsia="標楷體" w:hAnsi="標楷體" w:cs="新細明體" w:hint="eastAsia"/>
                <w:kern w:val="0"/>
                <w:szCs w:val="24"/>
              </w:rPr>
              <w:t>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4092E436" w14:textId="77777777" w:rsidR="001D1F2A" w:rsidRPr="001D1F2A" w:rsidRDefault="001D1F2A" w:rsidP="00107D27">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21</w:t>
            </w:r>
            <w:r w:rsidRPr="001D1F2A">
              <w:rPr>
                <w:rFonts w:ascii="標楷體" w:eastAsia="標楷體" w:hAnsi="標楷體" w:cs="新細明體" w:hint="eastAsia"/>
                <w:kern w:val="0"/>
                <w:szCs w:val="24"/>
              </w:rPr>
              <w:t>日(</w:t>
            </w:r>
            <w:proofErr w:type="gramStart"/>
            <w:r w:rsidR="00107D27">
              <w:rPr>
                <w:rFonts w:ascii="標楷體" w:eastAsia="標楷體" w:hAnsi="標楷體" w:cs="新細明體" w:hint="eastAsia"/>
                <w:kern w:val="0"/>
                <w:szCs w:val="24"/>
              </w:rPr>
              <w:t>一</w:t>
            </w:r>
            <w:proofErr w:type="gramEnd"/>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5E49C30F" w14:textId="77777777" w:rsidR="001D1F2A" w:rsidRPr="001D1F2A" w:rsidRDefault="001D1F2A" w:rsidP="001D1F2A">
            <w:pPr>
              <w:widowControl/>
              <w:jc w:val="both"/>
              <w:rPr>
                <w:rFonts w:ascii="標楷體" w:eastAsia="標楷體" w:hAnsi="標楷體" w:cs="新細明體"/>
                <w:kern w:val="0"/>
                <w:szCs w:val="24"/>
              </w:rPr>
            </w:pPr>
          </w:p>
        </w:tc>
      </w:tr>
      <w:tr w:rsidR="001D1F2A" w:rsidRPr="001D1F2A" w14:paraId="3E1AF17A" w14:textId="77777777"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705BA3D"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1C67866"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605AA69" w14:textId="77777777"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w:t>
            </w:r>
            <w:r w:rsidR="0071557E">
              <w:rPr>
                <w:rFonts w:ascii="標楷體" w:eastAsia="標楷體" w:hAnsi="標楷體" w:cs="新細明體" w:hint="eastAsia"/>
                <w:kern w:val="0"/>
                <w:szCs w:val="24"/>
              </w:rPr>
              <w:t>5</w:t>
            </w:r>
            <w:r w:rsidRPr="001D1F2A">
              <w:rPr>
                <w:rFonts w:ascii="標楷體" w:eastAsia="標楷體" w:hAnsi="標楷體" w:cs="新細明體" w:hint="eastAsia"/>
                <w:kern w:val="0"/>
                <w:szCs w:val="24"/>
              </w:rPr>
              <w:t>日(一)起</w:t>
            </w:r>
          </w:p>
          <w:p w14:paraId="32675151"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至7月</w:t>
            </w:r>
            <w:r w:rsidR="0071557E">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0A75BBB" w14:textId="77777777"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F76DD76"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58A21751" w14:textId="77777777" w:rsidTr="00107D27">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AAEA7AB"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9631681"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62FC00"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w:t>
            </w:r>
            <w:r w:rsidR="0071557E">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71557E">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56A5B20"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C36AD44"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14:paraId="2189615D" w14:textId="77777777"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D6563F4" w14:textId="77777777"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5B86634" w14:textId="77777777"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359535" w14:textId="77777777" w:rsidR="001D1F2A" w:rsidRPr="001D1F2A" w:rsidRDefault="001D1F2A" w:rsidP="0071557E">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10月2</w:t>
            </w:r>
            <w:r w:rsidR="0071557E">
              <w:rPr>
                <w:rFonts w:ascii="標楷體" w:eastAsia="標楷體" w:hAnsi="標楷體" w:cs="新細明體" w:hint="eastAsia"/>
                <w:kern w:val="0"/>
                <w:szCs w:val="24"/>
              </w:rPr>
              <w:t>9</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8A9F48F" w14:textId="77777777"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B17F7C7" w14:textId="77777777" w:rsidR="001D1F2A" w:rsidRPr="001D1F2A" w:rsidRDefault="001D1F2A" w:rsidP="001D1F2A">
            <w:pPr>
              <w:widowControl/>
              <w:jc w:val="both"/>
              <w:rPr>
                <w:rFonts w:ascii="標楷體" w:eastAsia="標楷體" w:hAnsi="標楷體" w:cs="新細明體"/>
                <w:kern w:val="0"/>
                <w:szCs w:val="24"/>
              </w:rPr>
            </w:pPr>
          </w:p>
        </w:tc>
      </w:tr>
    </w:tbl>
    <w:p w14:paraId="2E68FEFC" w14:textId="77777777"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14:paraId="0D0AC6FE" w14:textId="77777777"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14:paraId="7180AFA6" w14:textId="77777777"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14:paraId="70DF680A" w14:textId="77777777"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14:paraId="45A747D6" w14:textId="77777777"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14:paraId="3D7BAE7D"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14:paraId="4CE1D1C4" w14:textId="77777777"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14:paraId="0E393CAD" w14:textId="77777777"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14:paraId="44D95E9D" w14:textId="77777777"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w:t>
      </w:r>
      <w:proofErr w:type="gramStart"/>
      <w:r w:rsidR="00D36A53" w:rsidRPr="00D36A53">
        <w:rPr>
          <w:rFonts w:ascii="標楷體" w:eastAsia="標楷體" w:hAnsi="標楷體" w:hint="eastAsia"/>
          <w:szCs w:val="26"/>
        </w:rPr>
        <w:t>摘要</w:t>
      </w:r>
      <w:r>
        <w:rPr>
          <w:rFonts w:ascii="標楷體" w:eastAsia="標楷體" w:hAnsi="標楷體" w:hint="eastAsia"/>
          <w:szCs w:val="26"/>
        </w:rPr>
        <w:t>表</w:t>
      </w:r>
      <w:r w:rsidR="00D36A53" w:rsidRPr="00D36A53">
        <w:rPr>
          <w:rFonts w:ascii="標楷體" w:eastAsia="標楷體" w:hAnsi="標楷體" w:hint="eastAsia"/>
          <w:szCs w:val="26"/>
        </w:rPr>
        <w:t>限2頁</w:t>
      </w:r>
      <w:proofErr w:type="gramEnd"/>
      <w:r w:rsidR="004652C2">
        <w:rPr>
          <w:rFonts w:ascii="標楷體" w:eastAsia="標楷體" w:hAnsi="標楷體" w:hint="eastAsia"/>
          <w:szCs w:val="26"/>
        </w:rPr>
        <w:t>(A4)</w:t>
      </w:r>
      <w:proofErr w:type="gramStart"/>
      <w:r w:rsidR="00D36A53" w:rsidRPr="00D36A53">
        <w:rPr>
          <w:rFonts w:ascii="標楷體" w:eastAsia="標楷體" w:hAnsi="標楷體" w:hint="eastAsia"/>
          <w:szCs w:val="26"/>
        </w:rPr>
        <w:t>以內</w:t>
      </w:r>
      <w:proofErr w:type="gramEnd"/>
      <w:r w:rsidR="00D36A53" w:rsidRPr="00D36A53">
        <w:rPr>
          <w:rFonts w:ascii="標楷體" w:eastAsia="標楷體" w:hAnsi="標楷體" w:hint="eastAsia"/>
          <w:szCs w:val="26"/>
        </w:rPr>
        <w:t>（不含基本資料表）</w:t>
      </w:r>
      <w:r>
        <w:rPr>
          <w:rFonts w:ascii="標楷體" w:eastAsia="標楷體" w:hAnsi="標楷體" w:hint="eastAsia"/>
          <w:szCs w:val="26"/>
        </w:rPr>
        <w:t>，</w:t>
      </w:r>
    </w:p>
    <w:p w14:paraId="620F757D" w14:textId="77777777"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14:paraId="061B2F0E" w14:textId="77777777"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5BE8DC1D" w14:textId="77777777"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14:paraId="0F512EF0" w14:textId="77777777"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10048</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14:paraId="38825DF7" w14:textId="77777777"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21</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17</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14:paraId="7C5BB015" w14:textId="77777777"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14:paraId="647F1049" w14:textId="77777777"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79A0A7B1" w14:textId="77777777"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 xml:space="preserve">2021年6月18日(五)前繳交報名費，以及寄送方案全文(以郵戳為 </w:t>
      </w:r>
    </w:p>
    <w:p w14:paraId="234E3613" w14:textId="77777777"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憑)。提醒注意:6/18當天下午3時30分後繳款帳號將會自動關閉，敬請參賽者務必</w:t>
      </w:r>
    </w:p>
    <w:p w14:paraId="0A7D4BA6" w14:textId="77777777"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03CBE37E" w14:textId="77777777"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14:paraId="3FE3177D" w14:textId="77777777"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14:paraId="0608F187"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w:t>
      </w:r>
      <w:proofErr w:type="gramStart"/>
      <w:r w:rsidR="007B2E6A" w:rsidRPr="008270EE">
        <w:rPr>
          <w:rFonts w:eastAsia="標楷體" w:hAnsi="標楷體"/>
        </w:rPr>
        <w:t>採</w:t>
      </w:r>
      <w:proofErr w:type="gramEnd"/>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14:paraId="202676BA" w14:textId="77777777"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14:paraId="7EA57743"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2CDD4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3EF8804C" w14:textId="77777777"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14:paraId="5E5EB189" w14:textId="77777777"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14:paraId="71CDAB02" w14:textId="77777777"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14:paraId="7A266E8C" w14:textId="77777777"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14:paraId="2F6BF6C2"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14:paraId="5BE63ABB" w14:textId="77777777"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14:paraId="2A67F200" w14:textId="77777777"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14:paraId="70BBAA36"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14:paraId="6A7DCD01" w14:textId="77777777"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14:paraId="772E9513" w14:textId="77777777"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14:paraId="5119E174" w14:textId="77777777"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 xml:space="preserve">10048台北市中正區愛國西路一號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14:paraId="68EAFA2D" w14:textId="77777777"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14:paraId="198C84CA" w14:textId="77777777"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14:paraId="3ECEF733" w14:textId="77777777"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proofErr w:type="gramStart"/>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proofErr w:type="gramEnd"/>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14:paraId="24EE33C0" w14:textId="77777777"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 xml:space="preserve">評審 </w:t>
      </w:r>
      <w:proofErr w:type="gramStart"/>
      <w:r w:rsidR="00A54F08" w:rsidRPr="00FA0759">
        <w:rPr>
          <w:rFonts w:ascii="標楷體" w:eastAsia="標楷體" w:hAnsi="標楷體"/>
          <w:bCs/>
          <w:snapToGrid w:val="0"/>
          <w:spacing w:val="4"/>
          <w:kern w:val="0"/>
          <w:szCs w:val="24"/>
        </w:rPr>
        <w:t>Ｑ</w:t>
      </w:r>
      <w:proofErr w:type="gramEnd"/>
      <w:r w:rsidR="00A54F08" w:rsidRPr="00FA0759">
        <w:rPr>
          <w:rFonts w:ascii="標楷體" w:eastAsia="標楷體" w:hAnsi="標楷體"/>
          <w:bCs/>
          <w:snapToGrid w:val="0"/>
          <w:spacing w:val="4"/>
          <w:kern w:val="0"/>
          <w:szCs w:val="24"/>
        </w:rPr>
        <w:t>＆Ａ 10分鐘</w:t>
      </w:r>
      <w:r w:rsidR="00A54F08" w:rsidRPr="00FA0759">
        <w:rPr>
          <w:rFonts w:ascii="標楷體" w:eastAsia="標楷體" w:hAnsi="標楷體"/>
          <w:snapToGrid w:val="0"/>
          <w:spacing w:val="4"/>
          <w:kern w:val="0"/>
          <w:szCs w:val="24"/>
        </w:rPr>
        <w:t>。</w:t>
      </w:r>
    </w:p>
    <w:p w14:paraId="61440685"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14:paraId="09BAF7E2" w14:textId="77777777"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14:paraId="64C44B3A" w14:textId="77777777"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14:paraId="5986DDC4"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14:paraId="25F67F0C" w14:textId="77777777"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14:paraId="7C74B6D6" w14:textId="77777777"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21</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14:paraId="24973AE3" w14:textId="77777777"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35679A" w:rsidRPr="00FA0759">
        <w:rPr>
          <w:rFonts w:ascii="標楷體" w:eastAsia="標楷體" w:hAnsi="標楷體" w:hint="eastAsia"/>
          <w:szCs w:val="24"/>
        </w:rPr>
        <w:t>3</w:t>
      </w:r>
      <w:r w:rsidRPr="00FA0759">
        <w:rPr>
          <w:rFonts w:ascii="標楷體" w:eastAsia="標楷體" w:hAnsi="標楷體" w:hint="eastAsia"/>
          <w:szCs w:val="24"/>
        </w:rPr>
        <w:t>0</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14:paraId="58BAD5C7" w14:textId="77777777" w:rsidR="001173D7" w:rsidRDefault="001173D7" w:rsidP="001173D7">
      <w:pPr>
        <w:spacing w:beforeLines="50" w:before="120"/>
        <w:rPr>
          <w:rFonts w:ascii="標楷體" w:eastAsia="標楷體" w:hAnsi="標楷體"/>
          <w:snapToGrid w:val="0"/>
          <w:color w:val="000000"/>
          <w:spacing w:val="4"/>
          <w:kern w:val="0"/>
          <w:szCs w:val="24"/>
        </w:rPr>
      </w:pPr>
    </w:p>
    <w:p w14:paraId="12A81FCB" w14:textId="77777777" w:rsidR="00737A0C" w:rsidRPr="00737A0C" w:rsidRDefault="00737A0C" w:rsidP="001173D7">
      <w:pPr>
        <w:spacing w:beforeLines="50" w:before="120"/>
        <w:rPr>
          <w:rFonts w:ascii="標楷體" w:eastAsia="標楷體" w:hAnsi="標楷體"/>
          <w:snapToGrid w:val="0"/>
          <w:color w:val="000000"/>
          <w:spacing w:val="4"/>
          <w:kern w:val="0"/>
          <w:szCs w:val="24"/>
        </w:rPr>
      </w:pPr>
    </w:p>
    <w:p w14:paraId="56D862D2" w14:textId="77777777"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lastRenderedPageBreak/>
        <w:t>頒獎典禮</w:t>
      </w:r>
    </w:p>
    <w:p w14:paraId="4653F558" w14:textId="77777777"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21</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Pr>
          <w:rFonts w:ascii="標楷體" w:eastAsia="標楷體" w:hAnsi="標楷體" w:hint="eastAsia"/>
          <w:szCs w:val="24"/>
        </w:rPr>
        <w:t>9</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14:paraId="1DF80FC1" w14:textId="77777777"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14:paraId="50813056" w14:textId="77777777"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07282930" w14:textId="77777777" w:rsidR="002D409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獲得優等以上獎項之作品全文燒錄成光碟，寄送給所有參</w:t>
      </w:r>
    </w:p>
    <w:p w14:paraId="2AC0D707" w14:textId="77777777" w:rsidR="000E1D4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w:t>
      </w:r>
      <w:r w:rsidR="00FC124A" w:rsidRPr="00B924D5">
        <w:rPr>
          <w:rFonts w:ascii="標楷體" w:eastAsia="標楷體" w:hAnsi="標楷體" w:hint="eastAsia"/>
          <w:szCs w:val="26"/>
        </w:rPr>
        <w:t>賽者，以利優良方案之推廣。</w:t>
      </w:r>
    </w:p>
    <w:p w14:paraId="4305F10C" w14:textId="77777777" w:rsidR="0025546A" w:rsidRDefault="0025546A" w:rsidP="0025546A">
      <w:pPr>
        <w:pStyle w:val="a8"/>
        <w:ind w:leftChars="0" w:left="2127"/>
        <w:rPr>
          <w:rFonts w:ascii="標楷體" w:eastAsia="標楷體" w:hAnsi="標楷體"/>
          <w:szCs w:val="26"/>
        </w:rPr>
      </w:pPr>
    </w:p>
    <w:p w14:paraId="55FD3A77" w14:textId="77777777"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6EB8D0A7"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14:paraId="43298650" w14:textId="77777777"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14:paraId="2B12776B" w14:textId="77777777"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14:paraId="7E7BFADD" w14:textId="77777777" w:rsidR="0025546A" w:rsidRPr="00FA0759" w:rsidRDefault="00B924D5" w:rsidP="00342397">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7553FCEC" w14:textId="77777777" w:rsidR="0025546A" w:rsidRDefault="0025546A" w:rsidP="0025546A">
      <w:pPr>
        <w:pStyle w:val="a8"/>
        <w:tabs>
          <w:tab w:val="left" w:pos="7938"/>
        </w:tabs>
        <w:spacing w:beforeLines="50" w:before="120"/>
        <w:ind w:leftChars="0" w:left="1276"/>
        <w:rPr>
          <w:rFonts w:ascii="標楷體" w:eastAsia="標楷體" w:hAnsi="標楷體"/>
          <w:szCs w:val="24"/>
        </w:rPr>
      </w:pPr>
    </w:p>
    <w:p w14:paraId="321AE7B1" w14:textId="77777777"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4D3731D0" w14:textId="77777777"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w:t>
      </w:r>
      <w:proofErr w:type="gramStart"/>
      <w:r w:rsidRPr="004640C5">
        <w:rPr>
          <w:rFonts w:ascii="標楷體" w:eastAsia="標楷體" w:hAnsi="標楷體" w:hint="eastAsia"/>
          <w:snapToGrid w:val="0"/>
          <w:color w:val="000000"/>
          <w:kern w:val="0"/>
        </w:rPr>
        <w:t>一</w:t>
      </w:r>
      <w:proofErr w:type="gramEnd"/>
      <w:r w:rsidRPr="004640C5">
        <w:rPr>
          <w:rFonts w:ascii="標楷體" w:eastAsia="標楷體" w:hAnsi="標楷體" w:hint="eastAsia"/>
          <w:snapToGrid w:val="0"/>
          <w:color w:val="000000"/>
          <w:kern w:val="0"/>
        </w:rPr>
        <w:t>)</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14:paraId="597EE176" w14:textId="77777777"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14:paraId="739C5118" w14:textId="77777777" w:rsid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F31B0" w:rsidRPr="004640C5">
        <w:rPr>
          <w:rFonts w:ascii="標楷體" w:eastAsia="標楷體" w:hAnsi="標楷體" w:hint="eastAsia"/>
          <w:snapToGrid w:val="0"/>
          <w:color w:val="000000"/>
          <w:kern w:val="0"/>
        </w:rPr>
        <w:t>曾獲</w:t>
      </w:r>
      <w:proofErr w:type="spellStart"/>
      <w:r w:rsidR="008F31B0" w:rsidRPr="004640C5">
        <w:rPr>
          <w:rFonts w:ascii="標楷體" w:eastAsia="標楷體" w:hAnsi="標楷體" w:hint="eastAsia"/>
          <w:snapToGrid w:val="0"/>
          <w:color w:val="000000"/>
          <w:kern w:val="0"/>
        </w:rPr>
        <w:t>GreaTeach</w:t>
      </w:r>
      <w:proofErr w:type="spellEnd"/>
      <w:r w:rsidR="008F31B0" w:rsidRPr="004640C5">
        <w:rPr>
          <w:rFonts w:ascii="標楷體" w:eastAsia="標楷體" w:hAnsi="標楷體" w:hint="eastAsia"/>
          <w:snapToGrid w:val="0"/>
          <w:color w:val="000000"/>
          <w:kern w:val="0"/>
        </w:rPr>
        <w:t>或</w:t>
      </w:r>
      <w:proofErr w:type="spellStart"/>
      <w:r w:rsidR="008F31B0" w:rsidRPr="004640C5">
        <w:rPr>
          <w:rFonts w:ascii="標楷體" w:eastAsia="標楷體" w:hAnsi="標楷體" w:hint="eastAsia"/>
          <w:snapToGrid w:val="0"/>
          <w:color w:val="000000"/>
          <w:kern w:val="0"/>
        </w:rPr>
        <w:t>InnoSchool</w:t>
      </w:r>
      <w:proofErr w:type="spellEnd"/>
      <w:r w:rsidR="008F31B0" w:rsidRPr="004640C5">
        <w:rPr>
          <w:rFonts w:ascii="標楷體" w:eastAsia="標楷體" w:hAnsi="標楷體" w:hint="eastAsia"/>
          <w:snapToGrid w:val="0"/>
          <w:color w:val="000000"/>
          <w:kern w:val="0"/>
        </w:rPr>
        <w:t xml:space="preserve"> KDP國際認證獎之作品不得</w:t>
      </w:r>
      <w:r w:rsidR="00AB7C22" w:rsidRPr="004640C5">
        <w:rPr>
          <w:rFonts w:ascii="標楷體" w:eastAsia="標楷體" w:hAnsi="標楷體" w:hint="eastAsia"/>
          <w:snapToGrid w:val="0"/>
          <w:color w:val="000000"/>
          <w:kern w:val="0"/>
        </w:rPr>
        <w:t>報名</w:t>
      </w:r>
      <w:r w:rsidR="008F31B0" w:rsidRPr="004640C5">
        <w:rPr>
          <w:rFonts w:ascii="標楷體" w:eastAsia="標楷體" w:hAnsi="標楷體" w:hint="eastAsia"/>
          <w:snapToGrid w:val="0"/>
          <w:color w:val="000000"/>
          <w:kern w:val="0"/>
        </w:rPr>
        <w:t>本競賽</w:t>
      </w:r>
      <w:r w:rsidR="00AB7C22" w:rsidRPr="004640C5">
        <w:rPr>
          <w:rFonts w:ascii="標楷體" w:eastAsia="標楷體" w:hAnsi="標楷體" w:hint="eastAsia"/>
          <w:snapToGrid w:val="0"/>
          <w:color w:val="000000"/>
          <w:kern w:val="0"/>
        </w:rPr>
        <w:t>，若經查證屬實，將</w:t>
      </w:r>
    </w:p>
    <w:p w14:paraId="4EDFEEC5" w14:textId="77777777" w:rsidR="000E1D47" w:rsidRPr="004640C5"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AB7C22" w:rsidRPr="004640C5">
        <w:rPr>
          <w:rFonts w:ascii="標楷體" w:eastAsia="標楷體" w:hAnsi="標楷體" w:hint="eastAsia"/>
          <w:snapToGrid w:val="0"/>
          <w:color w:val="000000"/>
          <w:kern w:val="0"/>
        </w:rPr>
        <w:t>取消參賽資格。</w:t>
      </w:r>
    </w:p>
    <w:p w14:paraId="7FD7C884"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w:t>
      </w:r>
      <w:proofErr w:type="gramStart"/>
      <w:r w:rsidR="0062759A" w:rsidRPr="004640C5">
        <w:rPr>
          <w:rFonts w:ascii="標楷體" w:eastAsia="標楷體" w:hAnsi="標楷體" w:hint="eastAsia"/>
          <w:snapToGrid w:val="0"/>
          <w:color w:val="000000"/>
          <w:kern w:val="0"/>
        </w:rPr>
        <w:t>作品限投單一</w:t>
      </w:r>
      <w:proofErr w:type="gramEnd"/>
      <w:r w:rsidR="0062759A" w:rsidRPr="004640C5">
        <w:rPr>
          <w:rFonts w:ascii="標楷體" w:eastAsia="標楷體" w:hAnsi="標楷體" w:hint="eastAsia"/>
          <w:snapToGrid w:val="0"/>
          <w:color w:val="000000"/>
          <w:kern w:val="0"/>
        </w:rPr>
        <w:t>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14:paraId="14345EB3" w14:textId="77777777"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14:paraId="3821BE7D" w14:textId="77777777"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14:paraId="01958380" w14:textId="77777777"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14:paraId="5FE280EB" w14:textId="77777777" w:rsidR="0025546A" w:rsidRDefault="0025546A" w:rsidP="0025546A">
      <w:pPr>
        <w:pStyle w:val="a8"/>
        <w:spacing w:beforeLines="50" w:before="120"/>
        <w:ind w:leftChars="0" w:left="851"/>
        <w:rPr>
          <w:rFonts w:eastAsia="標楷體" w:hAnsi="標楷體"/>
          <w:snapToGrid w:val="0"/>
          <w:color w:val="000000"/>
          <w:kern w:val="0"/>
        </w:rPr>
      </w:pPr>
    </w:p>
    <w:p w14:paraId="0F7892CA" w14:textId="77777777"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1FA3FF0A" w14:textId="77777777"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717BEA30"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39D41F2F" w14:textId="77777777"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19BD2FB5" w14:textId="77777777"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w:t>
      </w:r>
      <w:r w:rsidR="006A4112" w:rsidRPr="004640C5">
        <w:rPr>
          <w:rFonts w:ascii="標楷體" w:eastAsia="標楷體" w:hAnsi="標楷體"/>
          <w:bCs/>
          <w:color w:val="000000"/>
        </w:rPr>
        <w:lastRenderedPageBreak/>
        <w:t>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14:paraId="09DC003C" w14:textId="77777777" w:rsidR="006A4112" w:rsidRPr="004640C5" w:rsidRDefault="006A4112" w:rsidP="006A4112">
      <w:pPr>
        <w:spacing w:line="440" w:lineRule="exact"/>
        <w:ind w:firstLineChars="200" w:firstLine="480"/>
        <w:rPr>
          <w:rFonts w:ascii="標楷體" w:eastAsia="標楷體" w:hAnsi="標楷體"/>
        </w:rPr>
      </w:pPr>
    </w:p>
    <w:p w14:paraId="5801AA3A" w14:textId="77777777"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14:paraId="52EC6842"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5268891D" w14:textId="77777777"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F60EEE9" w14:textId="77777777"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14BA1E2A" w14:textId="77777777"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4323E99B" w14:textId="77777777"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53C5A990" w14:textId="77777777"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14:paraId="6106D360" w14:textId="77777777" w:rsidR="00D125BB" w:rsidRPr="00CA1F58" w:rsidRDefault="001F0FA2" w:rsidP="00D125BB">
      <w:pPr>
        <w:jc w:val="center"/>
        <w:rPr>
          <w:rStyle w:val="a7"/>
          <w:rFonts w:eastAsia="標楷體" w:cs="Times New Roman"/>
          <w:bCs w:val="0"/>
          <w:i/>
          <w:sz w:val="44"/>
          <w:szCs w:val="44"/>
        </w:rPr>
      </w:pPr>
      <w:r w:rsidRPr="00CA1F58">
        <w:rPr>
          <w:rStyle w:val="a7"/>
          <w:rFonts w:eastAsia="標楷體" w:cs="Times New Roman"/>
          <w:bCs w:val="0"/>
          <w:i/>
          <w:sz w:val="44"/>
          <w:szCs w:val="44"/>
        </w:rPr>
        <w:t>Best Education-KDP</w:t>
      </w:r>
    </w:p>
    <w:p w14:paraId="5DE7F073" w14:textId="77777777" w:rsidR="00D125BB" w:rsidRPr="00CA1F58" w:rsidRDefault="00CA1F58" w:rsidP="00D125BB">
      <w:pPr>
        <w:jc w:val="center"/>
        <w:rPr>
          <w:rStyle w:val="a7"/>
          <w:rFonts w:ascii="Times New Roman" w:eastAsia="標楷體" w:hAnsi="標楷體" w:cs="Times New Roman"/>
          <w:bCs w:val="0"/>
          <w:sz w:val="44"/>
          <w:szCs w:val="44"/>
        </w:rPr>
      </w:pPr>
      <w:r w:rsidRPr="00CA1F58">
        <w:rPr>
          <w:rStyle w:val="a7"/>
          <w:rFonts w:eastAsia="標楷體" w:cs="Times New Roman"/>
          <w:bCs w:val="0"/>
          <w:sz w:val="44"/>
          <w:szCs w:val="44"/>
        </w:rPr>
        <w:t>20</w:t>
      </w:r>
      <w:r w:rsidRPr="00CA1F58">
        <w:rPr>
          <w:rStyle w:val="a7"/>
          <w:rFonts w:eastAsia="標楷體" w:cs="Times New Roman" w:hint="eastAsia"/>
          <w:bCs w:val="0"/>
          <w:sz w:val="44"/>
          <w:szCs w:val="44"/>
        </w:rPr>
        <w:t>21</w:t>
      </w:r>
      <w:r w:rsidR="001F0FA2" w:rsidRPr="00CA1F58">
        <w:rPr>
          <w:rStyle w:val="a7"/>
          <w:rFonts w:ascii="Times New Roman" w:eastAsia="標楷體" w:hAnsi="標楷體" w:cs="Times New Roman"/>
          <w:bCs w:val="0"/>
          <w:sz w:val="44"/>
          <w:szCs w:val="44"/>
        </w:rPr>
        <w:t>全國</w:t>
      </w:r>
      <w:r w:rsidR="001F0FA2" w:rsidRPr="00CA1F58">
        <w:rPr>
          <w:rStyle w:val="a7"/>
          <w:rFonts w:ascii="Times New Roman" w:eastAsia="標楷體" w:hAnsi="標楷體" w:cs="Times New Roman" w:hint="eastAsia"/>
          <w:bCs w:val="0"/>
          <w:sz w:val="44"/>
          <w:szCs w:val="44"/>
        </w:rPr>
        <w:t>學校經營與教學創新</w:t>
      </w:r>
      <w:r w:rsidR="001F0FA2" w:rsidRPr="00CA1F58">
        <w:rPr>
          <w:rStyle w:val="a7"/>
          <w:rFonts w:eastAsia="標楷體" w:cs="Times New Roman"/>
          <w:bCs w:val="0"/>
          <w:sz w:val="44"/>
          <w:szCs w:val="44"/>
        </w:rPr>
        <w:t>KDP</w:t>
      </w:r>
      <w:r w:rsidR="001F0FA2" w:rsidRPr="00CA1F58">
        <w:rPr>
          <w:rStyle w:val="a7"/>
          <w:rFonts w:ascii="Times New Roman" w:eastAsia="標楷體" w:hAnsi="標楷體" w:cs="Times New Roman"/>
          <w:bCs w:val="0"/>
          <w:sz w:val="44"/>
          <w:szCs w:val="44"/>
        </w:rPr>
        <w:t>國際認證獎</w:t>
      </w:r>
    </w:p>
    <w:p w14:paraId="26005F2B" w14:textId="77777777"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14:paraId="774FC3F8" w14:textId="77777777"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14:paraId="69945742" w14:textId="77777777" w:rsidTr="00D63D5C">
        <w:trPr>
          <w:trHeight w:val="553"/>
          <w:jc w:val="center"/>
        </w:trPr>
        <w:tc>
          <w:tcPr>
            <w:tcW w:w="1823" w:type="dxa"/>
            <w:vAlign w:val="center"/>
          </w:tcPr>
          <w:p w14:paraId="4A1DE8A5" w14:textId="77777777"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7872DCFA" w14:textId="77777777"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14:paraId="10217ED1" w14:textId="77777777" w:rsidTr="00D63D5C">
        <w:trPr>
          <w:trHeight w:val="365"/>
          <w:jc w:val="center"/>
        </w:trPr>
        <w:tc>
          <w:tcPr>
            <w:tcW w:w="1823" w:type="dxa"/>
            <w:vAlign w:val="center"/>
          </w:tcPr>
          <w:p w14:paraId="7AE4634D" w14:textId="77777777"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26C2897E" w14:textId="77777777" w:rsidR="000E1D47" w:rsidRDefault="000E1D47" w:rsidP="00B3076A">
            <w:pPr>
              <w:spacing w:beforeLines="50" w:before="120" w:afterLines="50" w:after="120" w:line="500" w:lineRule="exact"/>
              <w:rPr>
                <w:rFonts w:ascii="標楷體" w:eastAsia="標楷體" w:hAnsi="標楷體"/>
              </w:rPr>
            </w:pPr>
          </w:p>
        </w:tc>
      </w:tr>
      <w:tr w:rsidR="008270EE" w:rsidRPr="00935FB3" w14:paraId="417C28F7" w14:textId="77777777" w:rsidTr="00D63D5C">
        <w:trPr>
          <w:trHeight w:val="759"/>
          <w:jc w:val="center"/>
        </w:trPr>
        <w:tc>
          <w:tcPr>
            <w:tcW w:w="1823" w:type="dxa"/>
          </w:tcPr>
          <w:p w14:paraId="700ADBCF" w14:textId="77777777"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14:paraId="6B9F83C4"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14:paraId="618EE1E0" w14:textId="77777777"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14:paraId="77551EB3" w14:textId="77777777" w:rsidTr="00D63D5C">
        <w:trPr>
          <w:trHeight w:val="497"/>
          <w:jc w:val="center"/>
        </w:trPr>
        <w:tc>
          <w:tcPr>
            <w:tcW w:w="1823" w:type="dxa"/>
            <w:vAlign w:val="center"/>
          </w:tcPr>
          <w:p w14:paraId="533C565C" w14:textId="77777777" w:rsidR="00D125BB" w:rsidRPr="00524A23" w:rsidRDefault="00D125BB" w:rsidP="00D63D5C">
            <w:pPr>
              <w:snapToGrid w:val="0"/>
              <w:spacing w:beforeLines="30" w:before="72" w:afterLines="30" w:after="72"/>
              <w:jc w:val="center"/>
              <w:rPr>
                <w:rFonts w:ascii="標楷體" w:eastAsia="標楷體" w:hAnsi="標楷體"/>
                <w:sz w:val="26"/>
                <w:szCs w:val="26"/>
              </w:rPr>
            </w:pPr>
            <w:proofErr w:type="gramStart"/>
            <w:r w:rsidRPr="00524A23">
              <w:rPr>
                <w:rFonts w:ascii="標楷體" w:eastAsia="標楷體" w:hAnsi="標楷體" w:hint="eastAsia"/>
                <w:sz w:val="26"/>
                <w:szCs w:val="26"/>
              </w:rPr>
              <w:t>參賽校別</w:t>
            </w:r>
            <w:proofErr w:type="gramEnd"/>
          </w:p>
        </w:tc>
        <w:tc>
          <w:tcPr>
            <w:tcW w:w="8910" w:type="dxa"/>
            <w:vAlign w:val="center"/>
          </w:tcPr>
          <w:p w14:paraId="4CC9DDF7" w14:textId="77777777"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14:paraId="50EB9E0A" w14:textId="77777777" w:rsidTr="008F4D28">
        <w:trPr>
          <w:trHeight w:val="575"/>
          <w:jc w:val="center"/>
        </w:trPr>
        <w:tc>
          <w:tcPr>
            <w:tcW w:w="1823" w:type="dxa"/>
            <w:vAlign w:val="center"/>
          </w:tcPr>
          <w:p w14:paraId="1787AE4B" w14:textId="77777777"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14:paraId="4B363110" w14:textId="77777777"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14:paraId="79050707" w14:textId="77777777"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14:paraId="7A1AC144" w14:textId="77777777"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14:paraId="7C75789E" w14:textId="77777777" w:rsidTr="0084396A">
        <w:trPr>
          <w:jc w:val="center"/>
        </w:trPr>
        <w:tc>
          <w:tcPr>
            <w:tcW w:w="1819" w:type="dxa"/>
            <w:vAlign w:val="center"/>
          </w:tcPr>
          <w:p w14:paraId="6F755386"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14:paraId="03122568" w14:textId="77777777"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14:paraId="6A31C5A5"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127833FF"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286F7B14"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57D18601"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1C0EC91B"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E45C422"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55823673" w14:textId="77777777"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14:paraId="7F6FBB68" w14:textId="77777777"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14:paraId="0B1328FC" w14:textId="77777777" w:rsidTr="0084396A">
        <w:trPr>
          <w:jc w:val="center"/>
        </w:trPr>
        <w:tc>
          <w:tcPr>
            <w:tcW w:w="1819" w:type="dxa"/>
            <w:vAlign w:val="center"/>
          </w:tcPr>
          <w:p w14:paraId="41A13EB5" w14:textId="77777777"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61EF829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3C71B6B8"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717B7ED7" w14:textId="77777777" w:rsidR="008270EE" w:rsidRPr="00935FB3" w:rsidRDefault="008270EE" w:rsidP="0084396A">
            <w:pPr>
              <w:ind w:left="658" w:hanging="658"/>
              <w:jc w:val="center"/>
              <w:rPr>
                <w:rFonts w:ascii="標楷體" w:eastAsia="標楷體" w:hAnsi="標楷體"/>
                <w:sz w:val="22"/>
              </w:rPr>
            </w:pPr>
          </w:p>
        </w:tc>
        <w:tc>
          <w:tcPr>
            <w:tcW w:w="1781" w:type="dxa"/>
            <w:vAlign w:val="center"/>
          </w:tcPr>
          <w:p w14:paraId="29BE01AE" w14:textId="77777777" w:rsidR="008270EE" w:rsidRPr="00935FB3" w:rsidRDefault="008270EE" w:rsidP="0084396A">
            <w:pPr>
              <w:ind w:left="658" w:hanging="658"/>
              <w:jc w:val="center"/>
              <w:rPr>
                <w:rFonts w:ascii="標楷體" w:eastAsia="標楷體" w:hAnsi="標楷體"/>
                <w:sz w:val="22"/>
              </w:rPr>
            </w:pPr>
          </w:p>
        </w:tc>
        <w:tc>
          <w:tcPr>
            <w:tcW w:w="1782" w:type="dxa"/>
            <w:vAlign w:val="center"/>
          </w:tcPr>
          <w:p w14:paraId="7953488C" w14:textId="77777777" w:rsidR="008270EE" w:rsidRPr="00935FB3" w:rsidRDefault="008270EE" w:rsidP="0084396A">
            <w:pPr>
              <w:ind w:left="658" w:hanging="658"/>
              <w:jc w:val="center"/>
              <w:rPr>
                <w:rFonts w:ascii="標楷體" w:eastAsia="標楷體" w:hAnsi="標楷體"/>
                <w:sz w:val="22"/>
              </w:rPr>
            </w:pPr>
          </w:p>
        </w:tc>
      </w:tr>
      <w:tr w:rsidR="0084396A" w:rsidRPr="00935FB3" w14:paraId="69EDB383" w14:textId="77777777" w:rsidTr="00CA1F58">
        <w:trPr>
          <w:trHeight w:val="2345"/>
          <w:jc w:val="center"/>
        </w:trPr>
        <w:tc>
          <w:tcPr>
            <w:tcW w:w="1819" w:type="dxa"/>
            <w:vAlign w:val="center"/>
          </w:tcPr>
          <w:p w14:paraId="7918046A" w14:textId="77777777"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14:paraId="296E518B" w14:textId="77777777"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083AFEDE" w14:textId="77777777" w:rsidR="0079408C" w:rsidRDefault="0079408C" w:rsidP="0035679A">
            <w:pPr>
              <w:snapToGrid w:val="0"/>
              <w:rPr>
                <w:rFonts w:ascii="標楷體" w:eastAsia="標楷體" w:hAnsi="標楷體"/>
                <w:lang w:val="zh-TW"/>
              </w:rPr>
            </w:pPr>
          </w:p>
          <w:p w14:paraId="5A50350E" w14:textId="77777777" w:rsidR="003A732F" w:rsidRPr="0035679A" w:rsidRDefault="003A732F" w:rsidP="0035679A">
            <w:pPr>
              <w:snapToGrid w:val="0"/>
              <w:rPr>
                <w:rFonts w:ascii="標楷體" w:eastAsia="標楷體" w:hAnsi="標楷體"/>
                <w:lang w:val="zh-TW"/>
              </w:rPr>
            </w:pPr>
          </w:p>
        </w:tc>
        <w:tc>
          <w:tcPr>
            <w:tcW w:w="1781" w:type="dxa"/>
            <w:vAlign w:val="center"/>
          </w:tcPr>
          <w:p w14:paraId="521052F2" w14:textId="77777777" w:rsidR="0079408C" w:rsidRDefault="0079408C" w:rsidP="0035679A">
            <w:pPr>
              <w:snapToGrid w:val="0"/>
              <w:rPr>
                <w:rFonts w:ascii="標楷體" w:eastAsia="標楷體" w:hAnsi="標楷體"/>
                <w:lang w:val="zh-TW"/>
              </w:rPr>
            </w:pPr>
          </w:p>
          <w:p w14:paraId="574AE73A" w14:textId="77777777" w:rsidR="003A732F" w:rsidRPr="0035679A" w:rsidRDefault="003A732F" w:rsidP="0035679A">
            <w:pPr>
              <w:snapToGrid w:val="0"/>
              <w:rPr>
                <w:rFonts w:ascii="標楷體" w:eastAsia="標楷體" w:hAnsi="標楷體"/>
                <w:lang w:val="zh-TW"/>
              </w:rPr>
            </w:pPr>
          </w:p>
        </w:tc>
        <w:tc>
          <w:tcPr>
            <w:tcW w:w="1781" w:type="dxa"/>
            <w:vAlign w:val="center"/>
          </w:tcPr>
          <w:p w14:paraId="6F9589B0" w14:textId="77777777" w:rsidR="0079408C" w:rsidRDefault="0079408C" w:rsidP="0035679A">
            <w:pPr>
              <w:snapToGrid w:val="0"/>
              <w:rPr>
                <w:rFonts w:ascii="標楷體" w:eastAsia="標楷體" w:hAnsi="標楷體"/>
                <w:lang w:val="zh-TW"/>
              </w:rPr>
            </w:pPr>
          </w:p>
          <w:p w14:paraId="56D01B2C" w14:textId="77777777" w:rsidR="003A732F" w:rsidRPr="0035679A" w:rsidRDefault="003A732F" w:rsidP="0035679A">
            <w:pPr>
              <w:snapToGrid w:val="0"/>
              <w:rPr>
                <w:rFonts w:ascii="標楷體" w:eastAsia="標楷體" w:hAnsi="標楷體"/>
                <w:lang w:val="zh-TW"/>
              </w:rPr>
            </w:pPr>
          </w:p>
        </w:tc>
        <w:tc>
          <w:tcPr>
            <w:tcW w:w="1781" w:type="dxa"/>
            <w:vAlign w:val="center"/>
          </w:tcPr>
          <w:p w14:paraId="08AF591B" w14:textId="77777777" w:rsidR="0079408C" w:rsidRDefault="0079408C" w:rsidP="0035679A">
            <w:pPr>
              <w:snapToGrid w:val="0"/>
              <w:rPr>
                <w:rFonts w:ascii="標楷體" w:eastAsia="標楷體" w:hAnsi="標楷體"/>
                <w:lang w:val="zh-TW"/>
              </w:rPr>
            </w:pPr>
          </w:p>
          <w:p w14:paraId="49FA066C" w14:textId="77777777" w:rsidR="003A732F" w:rsidRPr="0035679A" w:rsidRDefault="003A732F" w:rsidP="0035679A">
            <w:pPr>
              <w:snapToGrid w:val="0"/>
              <w:rPr>
                <w:rFonts w:ascii="標楷體" w:eastAsia="標楷體" w:hAnsi="標楷體"/>
                <w:lang w:val="zh-TW"/>
              </w:rPr>
            </w:pPr>
          </w:p>
        </w:tc>
        <w:tc>
          <w:tcPr>
            <w:tcW w:w="1782" w:type="dxa"/>
            <w:vAlign w:val="center"/>
          </w:tcPr>
          <w:p w14:paraId="17D53E1F" w14:textId="77777777" w:rsidR="0079408C" w:rsidRDefault="0079408C" w:rsidP="0035679A">
            <w:pPr>
              <w:snapToGrid w:val="0"/>
              <w:rPr>
                <w:rFonts w:ascii="標楷體" w:eastAsia="標楷體" w:hAnsi="標楷體"/>
                <w:lang w:val="zh-TW"/>
              </w:rPr>
            </w:pPr>
          </w:p>
          <w:p w14:paraId="6ABCD96A" w14:textId="77777777" w:rsidR="003A732F" w:rsidRPr="0035679A" w:rsidRDefault="003A732F" w:rsidP="0035679A">
            <w:pPr>
              <w:snapToGrid w:val="0"/>
              <w:rPr>
                <w:rFonts w:ascii="標楷體" w:eastAsia="標楷體" w:hAnsi="標楷體"/>
                <w:lang w:val="zh-TW"/>
              </w:rPr>
            </w:pPr>
          </w:p>
        </w:tc>
      </w:tr>
      <w:tr w:rsidR="0084396A" w:rsidRPr="00935FB3" w14:paraId="63C8DEE9" w14:textId="77777777" w:rsidTr="00CA1F58">
        <w:trPr>
          <w:trHeight w:val="1695"/>
          <w:jc w:val="center"/>
        </w:trPr>
        <w:tc>
          <w:tcPr>
            <w:tcW w:w="1819" w:type="dxa"/>
            <w:vAlign w:val="center"/>
          </w:tcPr>
          <w:p w14:paraId="5F0C9A08" w14:textId="77777777"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14:paraId="017DFEE6" w14:textId="77777777" w:rsidR="00595421" w:rsidRDefault="00595421" w:rsidP="003A732F">
            <w:pPr>
              <w:snapToGrid w:val="0"/>
              <w:rPr>
                <w:rFonts w:ascii="標楷體" w:eastAsia="標楷體" w:hAnsi="標楷體"/>
                <w:lang w:val="zh-TW"/>
              </w:rPr>
            </w:pPr>
          </w:p>
        </w:tc>
        <w:tc>
          <w:tcPr>
            <w:tcW w:w="1781" w:type="dxa"/>
            <w:vAlign w:val="center"/>
          </w:tcPr>
          <w:p w14:paraId="59A876CC" w14:textId="77777777" w:rsidR="00595421" w:rsidRPr="0035679A" w:rsidRDefault="00595421" w:rsidP="0035679A">
            <w:pPr>
              <w:snapToGrid w:val="0"/>
              <w:rPr>
                <w:rFonts w:ascii="標楷體" w:eastAsia="標楷體" w:hAnsi="標楷體"/>
                <w:lang w:val="zh-TW"/>
              </w:rPr>
            </w:pPr>
          </w:p>
        </w:tc>
        <w:tc>
          <w:tcPr>
            <w:tcW w:w="1781" w:type="dxa"/>
            <w:vAlign w:val="center"/>
          </w:tcPr>
          <w:p w14:paraId="2EE2679F" w14:textId="77777777" w:rsidR="00595421" w:rsidRPr="0035679A" w:rsidRDefault="00595421" w:rsidP="0035679A">
            <w:pPr>
              <w:snapToGrid w:val="0"/>
              <w:rPr>
                <w:rFonts w:ascii="標楷體" w:eastAsia="標楷體" w:hAnsi="標楷體"/>
                <w:lang w:val="zh-TW"/>
              </w:rPr>
            </w:pPr>
          </w:p>
        </w:tc>
        <w:tc>
          <w:tcPr>
            <w:tcW w:w="1781" w:type="dxa"/>
            <w:vAlign w:val="center"/>
          </w:tcPr>
          <w:p w14:paraId="3EAE1933" w14:textId="77777777" w:rsidR="00595421" w:rsidRPr="0035679A" w:rsidRDefault="00595421" w:rsidP="0035679A">
            <w:pPr>
              <w:snapToGrid w:val="0"/>
              <w:rPr>
                <w:rFonts w:ascii="標楷體" w:eastAsia="標楷體" w:hAnsi="標楷體"/>
                <w:lang w:val="zh-TW"/>
              </w:rPr>
            </w:pPr>
          </w:p>
        </w:tc>
        <w:tc>
          <w:tcPr>
            <w:tcW w:w="1782" w:type="dxa"/>
            <w:vAlign w:val="center"/>
          </w:tcPr>
          <w:p w14:paraId="38099C95" w14:textId="77777777" w:rsidR="00595421" w:rsidRPr="0035679A" w:rsidRDefault="00595421" w:rsidP="0035679A">
            <w:pPr>
              <w:snapToGrid w:val="0"/>
              <w:rPr>
                <w:rFonts w:ascii="標楷體" w:eastAsia="標楷體" w:hAnsi="標楷體"/>
                <w:lang w:val="zh-TW"/>
              </w:rPr>
            </w:pPr>
          </w:p>
        </w:tc>
      </w:tr>
      <w:tr w:rsidR="003A732F" w:rsidRPr="00935FB3" w14:paraId="5477EAD3" w14:textId="77777777" w:rsidTr="007D66D2">
        <w:trPr>
          <w:trHeight w:val="499"/>
          <w:jc w:val="center"/>
        </w:trPr>
        <w:tc>
          <w:tcPr>
            <w:tcW w:w="1819" w:type="dxa"/>
            <w:vAlign w:val="center"/>
          </w:tcPr>
          <w:p w14:paraId="2C1C883B"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5DA31560" w14:textId="77777777"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14:paraId="34BB5BA9" w14:textId="77777777" w:rsidTr="007D66D2">
        <w:trPr>
          <w:trHeight w:val="324"/>
          <w:jc w:val="center"/>
        </w:trPr>
        <w:tc>
          <w:tcPr>
            <w:tcW w:w="1819" w:type="dxa"/>
            <w:vAlign w:val="center"/>
          </w:tcPr>
          <w:p w14:paraId="17789086" w14:textId="77777777"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14:paraId="074D1F6D" w14:textId="77777777" w:rsidR="003A732F" w:rsidRPr="008C4702" w:rsidRDefault="003A732F" w:rsidP="0079408C">
            <w:pPr>
              <w:snapToGrid w:val="0"/>
              <w:rPr>
                <w:rFonts w:ascii="標楷體" w:eastAsia="標楷體" w:hAnsi="標楷體"/>
              </w:rPr>
            </w:pPr>
          </w:p>
        </w:tc>
      </w:tr>
      <w:tr w:rsidR="003A732F" w:rsidRPr="00935FB3" w14:paraId="76EEBA25" w14:textId="77777777" w:rsidTr="007D66D2">
        <w:trPr>
          <w:trHeight w:val="232"/>
          <w:jc w:val="center"/>
        </w:trPr>
        <w:tc>
          <w:tcPr>
            <w:tcW w:w="1819" w:type="dxa"/>
            <w:vAlign w:val="center"/>
          </w:tcPr>
          <w:p w14:paraId="12B82BAD" w14:textId="77777777"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3E70580D" w14:textId="77777777" w:rsidR="003A732F" w:rsidRPr="008C4702" w:rsidRDefault="003A732F" w:rsidP="0079408C">
            <w:pPr>
              <w:snapToGrid w:val="0"/>
              <w:rPr>
                <w:rFonts w:ascii="標楷體" w:eastAsia="標楷體" w:hAnsi="標楷體"/>
              </w:rPr>
            </w:pPr>
          </w:p>
        </w:tc>
      </w:tr>
      <w:tr w:rsidR="003A732F" w:rsidRPr="00935FB3" w14:paraId="2AAAE61A" w14:textId="77777777" w:rsidTr="007D66D2">
        <w:trPr>
          <w:trHeight w:val="98"/>
          <w:jc w:val="center"/>
        </w:trPr>
        <w:tc>
          <w:tcPr>
            <w:tcW w:w="1819" w:type="dxa"/>
            <w:vAlign w:val="center"/>
          </w:tcPr>
          <w:p w14:paraId="3F680BF6" w14:textId="77777777"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159FB336" w14:textId="77777777" w:rsidR="003A732F" w:rsidRPr="008C4702" w:rsidRDefault="003A732F" w:rsidP="0035679A">
            <w:pPr>
              <w:snapToGrid w:val="0"/>
              <w:rPr>
                <w:rFonts w:ascii="標楷體" w:eastAsia="標楷體" w:hAnsi="標楷體"/>
              </w:rPr>
            </w:pPr>
          </w:p>
        </w:tc>
      </w:tr>
    </w:tbl>
    <w:p w14:paraId="794A31DB" w14:textId="77777777"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14:paraId="2E67AA87" w14:textId="77777777"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05BC35" w14:textId="77777777"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14:paraId="29121BD1" w14:textId="77777777" w:rsidR="00FE0AD0" w:rsidRDefault="00FE0AD0" w:rsidP="00FE0AD0">
      <w:pPr>
        <w:pStyle w:val="a8"/>
        <w:spacing w:line="460" w:lineRule="exact"/>
        <w:ind w:leftChars="0"/>
        <w:jc w:val="both"/>
        <w:rPr>
          <w:rFonts w:eastAsia="標楷體"/>
          <w:szCs w:val="24"/>
        </w:rPr>
      </w:pPr>
    </w:p>
    <w:p w14:paraId="36C1DD3E" w14:textId="77777777"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14:paraId="465175D4" w14:textId="77777777"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14:paraId="3E222BD8" w14:textId="77777777"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14:paraId="3FF8D18A" w14:textId="77777777" w:rsidR="002B4CC5" w:rsidRDefault="002B4CC5" w:rsidP="00645670">
      <w:pPr>
        <w:spacing w:line="460" w:lineRule="exact"/>
        <w:jc w:val="both"/>
        <w:rPr>
          <w:rFonts w:eastAsia="標楷體"/>
          <w:szCs w:val="24"/>
        </w:rPr>
      </w:pPr>
    </w:p>
    <w:p w14:paraId="478B6D54" w14:textId="77777777"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14:paraId="4AEE1352" w14:textId="77777777" w:rsidR="00C5659F" w:rsidRDefault="00C5659F" w:rsidP="00C5659F">
      <w:pPr>
        <w:spacing w:line="460" w:lineRule="exact"/>
        <w:jc w:val="both"/>
        <w:rPr>
          <w:rFonts w:eastAsia="標楷體"/>
          <w:szCs w:val="24"/>
        </w:rPr>
      </w:pPr>
    </w:p>
    <w:p w14:paraId="2A680888" w14:textId="77777777" w:rsidR="00737A0C" w:rsidRPr="00935FB3" w:rsidRDefault="00737A0C" w:rsidP="00C5659F">
      <w:pPr>
        <w:spacing w:line="460" w:lineRule="exact"/>
        <w:jc w:val="both"/>
        <w:rPr>
          <w:rFonts w:eastAsia="標楷體"/>
          <w:szCs w:val="24"/>
        </w:rPr>
      </w:pPr>
    </w:p>
    <w:p w14:paraId="741C17C7" w14:textId="77777777"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14:paraId="74C92D58" w14:textId="77777777"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14:paraId="64DD7324" w14:textId="77777777"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14:paraId="1E9714C1" w14:textId="77777777" w:rsidR="00FA3225" w:rsidRPr="002B4CC5" w:rsidRDefault="00727B28" w:rsidP="008F4D28">
      <w:pPr>
        <w:widowControl/>
        <w:rPr>
          <w:rFonts w:ascii="標楷體" w:eastAsia="標楷體" w:hAnsi="標楷體"/>
        </w:rPr>
      </w:pPr>
      <w:r w:rsidRPr="002B4CC5">
        <w:rPr>
          <w:rFonts w:ascii="標楷體" w:eastAsia="標楷體" w:hAnsi="標楷體"/>
        </w:rPr>
        <w:br w:type="page"/>
      </w:r>
    </w:p>
    <w:p w14:paraId="25040070" w14:textId="77777777"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14:paraId="259197BD" w14:textId="77777777" w:rsidR="00625809" w:rsidRPr="004C4954" w:rsidRDefault="00625809" w:rsidP="00625809">
      <w:pPr>
        <w:jc w:val="center"/>
        <w:rPr>
          <w:rStyle w:val="a7"/>
          <w:rFonts w:eastAsia="標楷體" w:cs="Times New Roman"/>
          <w:bCs w:val="0"/>
          <w:i/>
          <w:sz w:val="44"/>
          <w:szCs w:val="44"/>
        </w:rPr>
      </w:pPr>
      <w:r w:rsidRPr="004C4954">
        <w:rPr>
          <w:rStyle w:val="a7"/>
          <w:rFonts w:eastAsia="標楷體" w:cs="Times New Roman"/>
          <w:bCs w:val="0"/>
          <w:i/>
          <w:sz w:val="44"/>
          <w:szCs w:val="44"/>
        </w:rPr>
        <w:t>Best Education-KDP</w:t>
      </w:r>
      <w:r w:rsidRPr="004C4954">
        <w:rPr>
          <w:rStyle w:val="a7"/>
          <w:rFonts w:eastAsia="標楷體" w:cs="Times New Roman" w:hint="eastAsia"/>
          <w:bCs w:val="0"/>
          <w:i/>
          <w:sz w:val="44"/>
          <w:szCs w:val="44"/>
        </w:rPr>
        <w:t xml:space="preserve"> </w:t>
      </w:r>
    </w:p>
    <w:p w14:paraId="5D76F956" w14:textId="77777777"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eastAsia="標楷體" w:cs="Times New Roman"/>
          <w:bCs w:val="0"/>
          <w:sz w:val="44"/>
          <w:szCs w:val="44"/>
        </w:rPr>
        <w:t>20</w:t>
      </w:r>
      <w:r w:rsidR="004C4954" w:rsidRPr="004C4954">
        <w:rPr>
          <w:rStyle w:val="a7"/>
          <w:rFonts w:eastAsia="標楷體" w:cs="Times New Roman" w:hint="eastAsia"/>
          <w:bCs w:val="0"/>
          <w:sz w:val="44"/>
          <w:szCs w:val="44"/>
        </w:rPr>
        <w:t>21</w:t>
      </w: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14:paraId="3848439D" w14:textId="77777777"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14:paraId="4756C30A" w14:textId="77777777"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14:paraId="7390812F" w14:textId="77777777" w:rsidTr="00D23242">
        <w:trPr>
          <w:trHeight w:val="565"/>
          <w:jc w:val="center"/>
        </w:trPr>
        <w:tc>
          <w:tcPr>
            <w:tcW w:w="1827" w:type="dxa"/>
            <w:vAlign w:val="center"/>
          </w:tcPr>
          <w:p w14:paraId="66852AC6" w14:textId="77777777"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14:paraId="1DC6ED76" w14:textId="77777777"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14:paraId="4324D423" w14:textId="77777777" w:rsidTr="00D23242">
        <w:trPr>
          <w:trHeight w:val="623"/>
          <w:jc w:val="center"/>
        </w:trPr>
        <w:tc>
          <w:tcPr>
            <w:tcW w:w="1827" w:type="dxa"/>
            <w:vAlign w:val="center"/>
          </w:tcPr>
          <w:p w14:paraId="09B8E68F" w14:textId="77777777"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1571A071" w14:textId="77777777" w:rsidR="000E1D47" w:rsidRDefault="000E1D47" w:rsidP="00B3076A">
            <w:pPr>
              <w:spacing w:beforeLines="50" w:before="120" w:afterLines="50" w:after="120" w:line="500" w:lineRule="exact"/>
              <w:jc w:val="right"/>
              <w:rPr>
                <w:rFonts w:ascii="標楷體" w:eastAsia="標楷體" w:hAnsi="標楷體"/>
              </w:rPr>
            </w:pPr>
          </w:p>
        </w:tc>
      </w:tr>
      <w:tr w:rsidR="00625809" w:rsidRPr="00935FB3" w14:paraId="79E09AFF" w14:textId="77777777" w:rsidTr="00D23242">
        <w:trPr>
          <w:trHeight w:val="1058"/>
          <w:jc w:val="center"/>
        </w:trPr>
        <w:tc>
          <w:tcPr>
            <w:tcW w:w="1827" w:type="dxa"/>
          </w:tcPr>
          <w:p w14:paraId="76EB0852" w14:textId="77777777"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14:paraId="31AB282D"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14:paraId="0E311FE4" w14:textId="77777777"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14:paraId="0DA123A1" w14:textId="77777777"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14:paraId="0380F5D2" w14:textId="77777777" w:rsidTr="00D23242">
        <w:trPr>
          <w:trHeight w:val="421"/>
          <w:jc w:val="center"/>
        </w:trPr>
        <w:tc>
          <w:tcPr>
            <w:tcW w:w="1827" w:type="dxa"/>
            <w:vAlign w:val="center"/>
          </w:tcPr>
          <w:p w14:paraId="38A71BBA" w14:textId="77777777" w:rsidR="00625809" w:rsidRPr="002D09D6" w:rsidRDefault="00625809" w:rsidP="00B3076A">
            <w:pPr>
              <w:spacing w:beforeLines="50" w:before="120" w:afterLines="50" w:after="120"/>
              <w:jc w:val="both"/>
              <w:rPr>
                <w:rFonts w:ascii="標楷體" w:eastAsia="標楷體" w:hAnsi="標楷體"/>
                <w:sz w:val="26"/>
                <w:szCs w:val="26"/>
              </w:rPr>
            </w:pPr>
            <w:proofErr w:type="gramStart"/>
            <w:r w:rsidRPr="002D09D6">
              <w:rPr>
                <w:rFonts w:ascii="標楷體" w:eastAsia="標楷體" w:hAnsi="標楷體" w:hint="eastAsia"/>
                <w:sz w:val="26"/>
                <w:szCs w:val="26"/>
              </w:rPr>
              <w:t>參賽校別</w:t>
            </w:r>
            <w:proofErr w:type="gramEnd"/>
          </w:p>
        </w:tc>
        <w:tc>
          <w:tcPr>
            <w:tcW w:w="8913" w:type="dxa"/>
            <w:vAlign w:val="center"/>
          </w:tcPr>
          <w:p w14:paraId="7DDF8868" w14:textId="77777777"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14:paraId="7470FA9D" w14:textId="77777777"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5632C78" w14:textId="77777777"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48ADAD64" w14:textId="77777777"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49E1BF34" w14:textId="77777777"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14:paraId="2D4B593D" w14:textId="77777777"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14:paraId="13D5241D" w14:textId="77777777" w:rsidTr="008F4D28">
        <w:trPr>
          <w:jc w:val="center"/>
        </w:trPr>
        <w:tc>
          <w:tcPr>
            <w:tcW w:w="1845" w:type="dxa"/>
            <w:vAlign w:val="center"/>
          </w:tcPr>
          <w:p w14:paraId="3EAB4AE8"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4C6586A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6DEB0BAE" w14:textId="77777777"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6D2C04B3"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CBD35D9"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1C79230"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03FF270"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2044729B"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7CED5575"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7F46FB4" w14:textId="77777777"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76E0C28" w14:textId="77777777"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14:paraId="0BCD35E4" w14:textId="77777777" w:rsidTr="008F4D28">
        <w:trPr>
          <w:jc w:val="center"/>
        </w:trPr>
        <w:tc>
          <w:tcPr>
            <w:tcW w:w="1845" w:type="dxa"/>
            <w:vAlign w:val="center"/>
          </w:tcPr>
          <w:p w14:paraId="72D72E3F" w14:textId="77777777"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44160C31"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1CDE7D75"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1E7FBA30" w14:textId="77777777" w:rsidR="00AF5789" w:rsidRPr="00935FB3" w:rsidRDefault="00AF5789" w:rsidP="008F4D28">
            <w:pPr>
              <w:ind w:left="658" w:hanging="658"/>
              <w:jc w:val="center"/>
              <w:rPr>
                <w:rFonts w:ascii="標楷體" w:eastAsia="標楷體" w:hAnsi="標楷體"/>
                <w:sz w:val="22"/>
              </w:rPr>
            </w:pPr>
          </w:p>
        </w:tc>
        <w:tc>
          <w:tcPr>
            <w:tcW w:w="1786" w:type="dxa"/>
            <w:vAlign w:val="center"/>
          </w:tcPr>
          <w:p w14:paraId="25167E42" w14:textId="77777777" w:rsidR="00AF5789" w:rsidRPr="00935FB3" w:rsidRDefault="00AF5789" w:rsidP="008F4D28">
            <w:pPr>
              <w:ind w:left="658" w:hanging="658"/>
              <w:jc w:val="center"/>
              <w:rPr>
                <w:rFonts w:ascii="標楷體" w:eastAsia="標楷體" w:hAnsi="標楷體"/>
                <w:sz w:val="22"/>
              </w:rPr>
            </w:pPr>
          </w:p>
        </w:tc>
        <w:tc>
          <w:tcPr>
            <w:tcW w:w="1787" w:type="dxa"/>
            <w:vAlign w:val="center"/>
          </w:tcPr>
          <w:p w14:paraId="6AF67401" w14:textId="77777777" w:rsidR="00AF5789" w:rsidRPr="00935FB3" w:rsidRDefault="00AF5789" w:rsidP="008F4D28">
            <w:pPr>
              <w:ind w:left="658" w:hanging="658"/>
              <w:jc w:val="center"/>
              <w:rPr>
                <w:rFonts w:ascii="標楷體" w:eastAsia="標楷體" w:hAnsi="標楷體"/>
                <w:sz w:val="22"/>
              </w:rPr>
            </w:pPr>
          </w:p>
        </w:tc>
      </w:tr>
      <w:tr w:rsidR="008F4D28" w:rsidRPr="00935FB3" w14:paraId="1BFB462E" w14:textId="77777777" w:rsidTr="004C4954">
        <w:trPr>
          <w:trHeight w:val="1870"/>
          <w:jc w:val="center"/>
        </w:trPr>
        <w:tc>
          <w:tcPr>
            <w:tcW w:w="1845" w:type="dxa"/>
            <w:vAlign w:val="center"/>
          </w:tcPr>
          <w:p w14:paraId="5A99121D" w14:textId="77777777"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14:paraId="3D58DBC5" w14:textId="77777777"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14F3EA5D" w14:textId="77777777" w:rsidR="008F4D28" w:rsidRDefault="008F4D28" w:rsidP="008866AF">
            <w:pPr>
              <w:snapToGrid w:val="0"/>
              <w:rPr>
                <w:rFonts w:ascii="標楷體" w:eastAsia="標楷體" w:hAnsi="標楷體"/>
                <w:lang w:val="zh-TW"/>
              </w:rPr>
            </w:pPr>
          </w:p>
          <w:p w14:paraId="6C72A46F" w14:textId="77777777" w:rsidR="008F4D28" w:rsidRPr="0035679A" w:rsidRDefault="008F4D28" w:rsidP="008866AF">
            <w:pPr>
              <w:snapToGrid w:val="0"/>
              <w:rPr>
                <w:rFonts w:ascii="標楷體" w:eastAsia="標楷體" w:hAnsi="標楷體"/>
                <w:lang w:val="zh-TW"/>
              </w:rPr>
            </w:pPr>
          </w:p>
        </w:tc>
        <w:tc>
          <w:tcPr>
            <w:tcW w:w="1786" w:type="dxa"/>
            <w:vAlign w:val="center"/>
          </w:tcPr>
          <w:p w14:paraId="051B2E70" w14:textId="77777777" w:rsidR="008F4D28" w:rsidRDefault="008F4D28" w:rsidP="008866AF">
            <w:pPr>
              <w:snapToGrid w:val="0"/>
              <w:rPr>
                <w:rFonts w:ascii="標楷體" w:eastAsia="標楷體" w:hAnsi="標楷體"/>
                <w:lang w:val="zh-TW"/>
              </w:rPr>
            </w:pPr>
          </w:p>
          <w:p w14:paraId="7ED138C1" w14:textId="77777777" w:rsidR="008F4D28" w:rsidRPr="0035679A" w:rsidRDefault="008F4D28" w:rsidP="008866AF">
            <w:pPr>
              <w:snapToGrid w:val="0"/>
              <w:rPr>
                <w:rFonts w:ascii="標楷體" w:eastAsia="標楷體" w:hAnsi="標楷體"/>
                <w:lang w:val="zh-TW"/>
              </w:rPr>
            </w:pPr>
          </w:p>
        </w:tc>
        <w:tc>
          <w:tcPr>
            <w:tcW w:w="1787" w:type="dxa"/>
            <w:vAlign w:val="center"/>
          </w:tcPr>
          <w:p w14:paraId="3B7B3B8D" w14:textId="77777777" w:rsidR="008F4D28" w:rsidRDefault="008F4D28" w:rsidP="008866AF">
            <w:pPr>
              <w:snapToGrid w:val="0"/>
              <w:rPr>
                <w:rFonts w:ascii="標楷體" w:eastAsia="標楷體" w:hAnsi="標楷體"/>
                <w:lang w:val="zh-TW"/>
              </w:rPr>
            </w:pPr>
          </w:p>
          <w:p w14:paraId="01A85862" w14:textId="77777777" w:rsidR="008F4D28" w:rsidRPr="0035679A" w:rsidRDefault="008F4D28" w:rsidP="008866AF">
            <w:pPr>
              <w:snapToGrid w:val="0"/>
              <w:rPr>
                <w:rFonts w:ascii="標楷體" w:eastAsia="標楷體" w:hAnsi="標楷體"/>
                <w:lang w:val="zh-TW"/>
              </w:rPr>
            </w:pPr>
          </w:p>
        </w:tc>
        <w:tc>
          <w:tcPr>
            <w:tcW w:w="1786" w:type="dxa"/>
            <w:vAlign w:val="center"/>
          </w:tcPr>
          <w:p w14:paraId="32535802" w14:textId="77777777" w:rsidR="008F4D28" w:rsidRDefault="008F4D28" w:rsidP="008866AF">
            <w:pPr>
              <w:snapToGrid w:val="0"/>
              <w:rPr>
                <w:rFonts w:ascii="標楷體" w:eastAsia="標楷體" w:hAnsi="標楷體"/>
                <w:lang w:val="zh-TW"/>
              </w:rPr>
            </w:pPr>
          </w:p>
          <w:p w14:paraId="4264053E" w14:textId="77777777" w:rsidR="008F4D28" w:rsidRPr="0035679A" w:rsidRDefault="008F4D28" w:rsidP="008866AF">
            <w:pPr>
              <w:snapToGrid w:val="0"/>
              <w:rPr>
                <w:rFonts w:ascii="標楷體" w:eastAsia="標楷體" w:hAnsi="標楷體"/>
                <w:lang w:val="zh-TW"/>
              </w:rPr>
            </w:pPr>
          </w:p>
        </w:tc>
        <w:tc>
          <w:tcPr>
            <w:tcW w:w="1787" w:type="dxa"/>
            <w:vAlign w:val="center"/>
          </w:tcPr>
          <w:p w14:paraId="1229E990" w14:textId="77777777" w:rsidR="008F4D28" w:rsidRDefault="008F4D28" w:rsidP="008866AF">
            <w:pPr>
              <w:snapToGrid w:val="0"/>
              <w:rPr>
                <w:rFonts w:ascii="標楷體" w:eastAsia="標楷體" w:hAnsi="標楷體"/>
                <w:lang w:val="zh-TW"/>
              </w:rPr>
            </w:pPr>
          </w:p>
          <w:p w14:paraId="6CF206C9" w14:textId="77777777" w:rsidR="008F4D28" w:rsidRPr="0035679A" w:rsidRDefault="008F4D28" w:rsidP="008866AF">
            <w:pPr>
              <w:snapToGrid w:val="0"/>
              <w:rPr>
                <w:rFonts w:ascii="標楷體" w:eastAsia="標楷體" w:hAnsi="標楷體"/>
                <w:lang w:val="zh-TW"/>
              </w:rPr>
            </w:pPr>
          </w:p>
        </w:tc>
      </w:tr>
      <w:tr w:rsidR="00AF5789" w:rsidRPr="00935FB3" w14:paraId="5B355B77" w14:textId="77777777" w:rsidTr="004C4954">
        <w:trPr>
          <w:trHeight w:val="1840"/>
          <w:jc w:val="center"/>
        </w:trPr>
        <w:tc>
          <w:tcPr>
            <w:tcW w:w="1845" w:type="dxa"/>
            <w:vAlign w:val="center"/>
          </w:tcPr>
          <w:p w14:paraId="11C0219D" w14:textId="77777777"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14:paraId="12D641C7" w14:textId="77777777" w:rsidR="00AF5789" w:rsidRPr="0035679A" w:rsidRDefault="00AF5789" w:rsidP="00D4399B">
            <w:pPr>
              <w:snapToGrid w:val="0"/>
              <w:rPr>
                <w:rFonts w:ascii="標楷體" w:eastAsia="標楷體" w:hAnsi="標楷體"/>
                <w:lang w:val="zh-TW"/>
              </w:rPr>
            </w:pPr>
          </w:p>
        </w:tc>
        <w:tc>
          <w:tcPr>
            <w:tcW w:w="1786" w:type="dxa"/>
            <w:vAlign w:val="center"/>
          </w:tcPr>
          <w:p w14:paraId="40A63C8B" w14:textId="77777777" w:rsidR="008F4D28" w:rsidRPr="0035679A" w:rsidRDefault="008F4D28" w:rsidP="00D4399B">
            <w:pPr>
              <w:snapToGrid w:val="0"/>
              <w:rPr>
                <w:rFonts w:ascii="標楷體" w:eastAsia="標楷體" w:hAnsi="標楷體"/>
                <w:lang w:val="zh-TW"/>
              </w:rPr>
            </w:pPr>
          </w:p>
        </w:tc>
        <w:tc>
          <w:tcPr>
            <w:tcW w:w="1787" w:type="dxa"/>
            <w:vAlign w:val="center"/>
          </w:tcPr>
          <w:p w14:paraId="446D84C0" w14:textId="77777777" w:rsidR="008F4D28" w:rsidRPr="0035679A" w:rsidRDefault="008F4D28" w:rsidP="00D4399B">
            <w:pPr>
              <w:snapToGrid w:val="0"/>
              <w:rPr>
                <w:rFonts w:ascii="標楷體" w:eastAsia="標楷體" w:hAnsi="標楷體"/>
                <w:lang w:val="zh-TW"/>
              </w:rPr>
            </w:pPr>
          </w:p>
        </w:tc>
        <w:tc>
          <w:tcPr>
            <w:tcW w:w="1786" w:type="dxa"/>
            <w:vAlign w:val="center"/>
          </w:tcPr>
          <w:p w14:paraId="388A94F0" w14:textId="77777777" w:rsidR="008F4D28" w:rsidRPr="0035679A" w:rsidRDefault="008F4D28" w:rsidP="00D4399B">
            <w:pPr>
              <w:snapToGrid w:val="0"/>
              <w:rPr>
                <w:rFonts w:ascii="標楷體" w:eastAsia="標楷體" w:hAnsi="標楷體"/>
                <w:lang w:val="zh-TW"/>
              </w:rPr>
            </w:pPr>
          </w:p>
        </w:tc>
        <w:tc>
          <w:tcPr>
            <w:tcW w:w="1787" w:type="dxa"/>
            <w:vAlign w:val="center"/>
          </w:tcPr>
          <w:p w14:paraId="37809733" w14:textId="77777777" w:rsidR="008F4D28" w:rsidRPr="0035679A" w:rsidRDefault="008F4D28" w:rsidP="00D4399B">
            <w:pPr>
              <w:snapToGrid w:val="0"/>
              <w:rPr>
                <w:rFonts w:ascii="標楷體" w:eastAsia="標楷體" w:hAnsi="標楷體"/>
                <w:lang w:val="zh-TW"/>
              </w:rPr>
            </w:pPr>
          </w:p>
        </w:tc>
      </w:tr>
      <w:tr w:rsidR="008F4D28" w:rsidRPr="00935FB3" w14:paraId="38DC301D" w14:textId="77777777" w:rsidTr="008866AF">
        <w:trPr>
          <w:jc w:val="center"/>
        </w:trPr>
        <w:tc>
          <w:tcPr>
            <w:tcW w:w="1845" w:type="dxa"/>
            <w:vAlign w:val="center"/>
          </w:tcPr>
          <w:p w14:paraId="2902B933"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887B29D" w14:textId="77777777"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14:paraId="38C026E7" w14:textId="77777777" w:rsidTr="008866AF">
        <w:trPr>
          <w:jc w:val="center"/>
        </w:trPr>
        <w:tc>
          <w:tcPr>
            <w:tcW w:w="1845" w:type="dxa"/>
            <w:vAlign w:val="center"/>
          </w:tcPr>
          <w:p w14:paraId="722EA4C5" w14:textId="77777777"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14:paraId="02740A6A" w14:textId="77777777" w:rsidR="008F4D28" w:rsidRPr="008C4702" w:rsidRDefault="008F4D28" w:rsidP="00D4399B">
            <w:pPr>
              <w:snapToGrid w:val="0"/>
              <w:rPr>
                <w:rFonts w:ascii="標楷體" w:eastAsia="標楷體" w:hAnsi="標楷體"/>
              </w:rPr>
            </w:pPr>
          </w:p>
        </w:tc>
      </w:tr>
      <w:tr w:rsidR="008F4D28" w:rsidRPr="00935FB3" w14:paraId="25DA3D97" w14:textId="77777777" w:rsidTr="008866AF">
        <w:trPr>
          <w:jc w:val="center"/>
        </w:trPr>
        <w:tc>
          <w:tcPr>
            <w:tcW w:w="1845" w:type="dxa"/>
            <w:vAlign w:val="center"/>
          </w:tcPr>
          <w:p w14:paraId="3EA12DB5" w14:textId="77777777"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486355AA" w14:textId="77777777" w:rsidR="008F4D28" w:rsidRPr="008C4702" w:rsidRDefault="008F4D28" w:rsidP="00D4399B">
            <w:pPr>
              <w:snapToGrid w:val="0"/>
              <w:rPr>
                <w:rFonts w:ascii="標楷體" w:eastAsia="標楷體" w:hAnsi="標楷體"/>
              </w:rPr>
            </w:pPr>
          </w:p>
        </w:tc>
      </w:tr>
      <w:tr w:rsidR="008F4D28" w:rsidRPr="00935FB3" w14:paraId="1E6862EC" w14:textId="77777777" w:rsidTr="008866AF">
        <w:trPr>
          <w:jc w:val="center"/>
        </w:trPr>
        <w:tc>
          <w:tcPr>
            <w:tcW w:w="1845" w:type="dxa"/>
            <w:vAlign w:val="center"/>
          </w:tcPr>
          <w:p w14:paraId="407993BC" w14:textId="77777777"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132570E3" w14:textId="77777777" w:rsidR="008F4D28" w:rsidRPr="008C4702" w:rsidRDefault="008F4D28" w:rsidP="00D4399B">
            <w:pPr>
              <w:snapToGrid w:val="0"/>
              <w:rPr>
                <w:rFonts w:ascii="標楷體" w:eastAsia="標楷體" w:hAnsi="標楷體"/>
              </w:rPr>
            </w:pPr>
          </w:p>
        </w:tc>
      </w:tr>
    </w:tbl>
    <w:p w14:paraId="25A7C2E4" w14:textId="77777777"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14:paraId="2FEC5F6C" w14:textId="77777777"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14:paraId="1A158DB9" w14:textId="77777777" w:rsidR="00047748" w:rsidRPr="00F04A44" w:rsidRDefault="00443442" w:rsidP="00CA2784">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14:paraId="47EAC3BB" w14:textId="77777777" w:rsidR="00F04A44" w:rsidRPr="00F04A44" w:rsidRDefault="00F04A44" w:rsidP="00F04A44">
      <w:pPr>
        <w:pStyle w:val="a8"/>
        <w:spacing w:line="460" w:lineRule="exact"/>
        <w:ind w:leftChars="0"/>
        <w:jc w:val="both"/>
        <w:rPr>
          <w:rFonts w:eastAsia="標楷體"/>
          <w:color w:val="000000"/>
        </w:rPr>
      </w:pPr>
    </w:p>
    <w:p w14:paraId="1463A864" w14:textId="77777777"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14:paraId="4E3FB46E" w14:textId="77777777" w:rsidR="00C47439" w:rsidRPr="00C47439" w:rsidRDefault="00C47439" w:rsidP="00F157E1">
      <w:pPr>
        <w:pStyle w:val="a8"/>
        <w:spacing w:line="460" w:lineRule="exact"/>
        <w:ind w:leftChars="0"/>
        <w:jc w:val="both"/>
        <w:rPr>
          <w:rFonts w:eastAsia="標楷體"/>
          <w:color w:val="000000"/>
        </w:rPr>
      </w:pPr>
    </w:p>
    <w:p w14:paraId="7CF9D153" w14:textId="77777777"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14:paraId="16E0568A" w14:textId="77777777"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14:paraId="3764A980" w14:textId="77777777"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14:paraId="2BC76446" w14:textId="77777777" w:rsidR="00C47439" w:rsidRPr="00BB1D8F" w:rsidRDefault="00C47439" w:rsidP="00A804A8">
      <w:pPr>
        <w:spacing w:line="440" w:lineRule="exact"/>
        <w:ind w:firstLineChars="100" w:firstLine="240"/>
        <w:rPr>
          <w:rFonts w:eastAsia="標楷體"/>
          <w:color w:val="000000"/>
        </w:rPr>
      </w:pPr>
    </w:p>
    <w:p w14:paraId="1B5EA3EE" w14:textId="77777777"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14:paraId="18C3946A" w14:textId="77777777" w:rsidR="00C47439" w:rsidRPr="003F286A" w:rsidRDefault="00C47439" w:rsidP="00A804A8">
      <w:pPr>
        <w:spacing w:line="440" w:lineRule="exact"/>
        <w:ind w:firstLineChars="100" w:firstLine="240"/>
        <w:rPr>
          <w:rFonts w:eastAsia="標楷體"/>
          <w:color w:val="000000"/>
        </w:rPr>
      </w:pPr>
    </w:p>
    <w:p w14:paraId="22216DC4" w14:textId="77777777" w:rsidR="00C47439" w:rsidRPr="00F04A44" w:rsidRDefault="00C47439" w:rsidP="00C47439">
      <w:pPr>
        <w:spacing w:line="460" w:lineRule="exact"/>
        <w:jc w:val="both"/>
        <w:rPr>
          <w:rFonts w:eastAsia="標楷體"/>
          <w:szCs w:val="24"/>
        </w:rPr>
      </w:pPr>
    </w:p>
    <w:p w14:paraId="777CC813" w14:textId="77777777" w:rsidR="00F259BF" w:rsidRDefault="00F259BF" w:rsidP="00F259BF">
      <w:pPr>
        <w:spacing w:line="460" w:lineRule="exact"/>
        <w:jc w:val="both"/>
        <w:rPr>
          <w:rFonts w:eastAsia="標楷體"/>
        </w:rPr>
      </w:pPr>
      <w:r>
        <w:rPr>
          <w:rFonts w:eastAsia="標楷體" w:hint="eastAsia"/>
        </w:rPr>
        <w:t>※注意事項：</w:t>
      </w:r>
    </w:p>
    <w:p w14:paraId="091472DF"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14:paraId="70879320" w14:textId="77777777"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14:paraId="1C2422B8" w14:textId="77777777"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14:paraId="3154BC7E" w14:textId="77777777"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14:paraId="1AD00AD6" w14:textId="77777777"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3A3C7E26" w14:textId="77777777" w:rsidR="000E1D47" w:rsidRDefault="00174EA9" w:rsidP="00B3076A">
      <w:pPr>
        <w:autoSpaceDE w:val="0"/>
        <w:autoSpaceDN w:val="0"/>
        <w:adjustRightInd w:val="0"/>
        <w:spacing w:afterLines="50" w:after="120" w:line="460" w:lineRule="exact"/>
        <w:ind w:firstLineChars="29" w:firstLine="139"/>
        <w:jc w:val="center"/>
        <w:rPr>
          <w:rFonts w:eastAsia="標楷體"/>
          <w:b/>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5F0CC7" w:rsidRPr="002E42BC">
        <w:rPr>
          <w:rStyle w:val="a7"/>
          <w:rFonts w:ascii="Times New Roman" w:eastAsia="標楷體" w:hAnsi="標楷體" w:cs="Times New Roman"/>
          <w:bCs w:val="0"/>
          <w:sz w:val="48"/>
          <w:szCs w:val="48"/>
        </w:rPr>
        <w:t>全國</w:t>
      </w:r>
      <w:r w:rsidR="005F0CC7" w:rsidRPr="002E42BC">
        <w:rPr>
          <w:rStyle w:val="a7"/>
          <w:rFonts w:ascii="Times New Roman" w:eastAsia="標楷體" w:hAnsi="標楷體" w:cs="Times New Roman" w:hint="eastAsia"/>
          <w:bCs w:val="0"/>
          <w:sz w:val="48"/>
          <w:szCs w:val="48"/>
        </w:rPr>
        <w:t>學校經營與教學創新</w:t>
      </w:r>
      <w:r w:rsidR="005F0CC7" w:rsidRPr="002E42BC">
        <w:rPr>
          <w:rStyle w:val="a7"/>
          <w:rFonts w:eastAsia="標楷體" w:cs="Times New Roman"/>
          <w:bCs w:val="0"/>
          <w:sz w:val="48"/>
          <w:szCs w:val="48"/>
        </w:rPr>
        <w:t>KDP</w:t>
      </w:r>
      <w:r w:rsidR="005F0CC7" w:rsidRPr="002E42BC">
        <w:rPr>
          <w:rStyle w:val="a7"/>
          <w:rFonts w:ascii="Times New Roman" w:eastAsia="標楷體" w:hAnsi="標楷體" w:cs="Times New Roman"/>
          <w:bCs w:val="0"/>
          <w:sz w:val="48"/>
          <w:szCs w:val="48"/>
        </w:rPr>
        <w:t>國際認證獎</w:t>
      </w:r>
    </w:p>
    <w:p w14:paraId="3DC03971" w14:textId="77777777"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14:paraId="286D8A55" w14:textId="77777777" w:rsidTr="004973EC">
        <w:trPr>
          <w:jc w:val="center"/>
        </w:trPr>
        <w:tc>
          <w:tcPr>
            <w:tcW w:w="1617" w:type="dxa"/>
            <w:vAlign w:val="center"/>
          </w:tcPr>
          <w:p w14:paraId="12688263" w14:textId="77777777"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4E5EDDBD" w14:textId="77777777" w:rsidR="000E1D47" w:rsidRDefault="000E1D47" w:rsidP="00B3076A">
            <w:pPr>
              <w:spacing w:beforeLines="50" w:before="120" w:afterLines="50" w:after="120"/>
              <w:jc w:val="both"/>
              <w:rPr>
                <w:rFonts w:ascii="標楷體" w:eastAsia="標楷體" w:hAnsi="標楷體"/>
                <w:sz w:val="28"/>
              </w:rPr>
            </w:pPr>
          </w:p>
        </w:tc>
      </w:tr>
      <w:tr w:rsidR="00985CC3" w:rsidRPr="002D09D6" w14:paraId="117B9F79" w14:textId="77777777" w:rsidTr="004973EC">
        <w:trPr>
          <w:jc w:val="center"/>
        </w:trPr>
        <w:tc>
          <w:tcPr>
            <w:tcW w:w="1617" w:type="dxa"/>
            <w:vAlign w:val="center"/>
          </w:tcPr>
          <w:p w14:paraId="0D609D39" w14:textId="77777777"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4E7C4BFA"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42042CAF" w14:textId="77777777" w:rsidTr="004973EC">
        <w:trPr>
          <w:jc w:val="center"/>
        </w:trPr>
        <w:tc>
          <w:tcPr>
            <w:tcW w:w="1617" w:type="dxa"/>
            <w:vAlign w:val="center"/>
          </w:tcPr>
          <w:p w14:paraId="4EA19CC7" w14:textId="77777777"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908647F"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84C058" w14:textId="77777777" w:rsidTr="004973EC">
        <w:trPr>
          <w:jc w:val="center"/>
        </w:trPr>
        <w:tc>
          <w:tcPr>
            <w:tcW w:w="1617" w:type="dxa"/>
            <w:vAlign w:val="center"/>
          </w:tcPr>
          <w:p w14:paraId="35331988" w14:textId="77777777"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14:paraId="046735BA" w14:textId="77777777" w:rsidR="000E1D47" w:rsidRDefault="000E1D47" w:rsidP="00B3076A">
            <w:pPr>
              <w:spacing w:beforeLines="50" w:before="120" w:afterLines="50" w:after="120"/>
              <w:jc w:val="both"/>
              <w:rPr>
                <w:rFonts w:ascii="標楷體" w:eastAsia="標楷體" w:hAnsi="標楷體"/>
                <w:sz w:val="28"/>
              </w:rPr>
            </w:pPr>
          </w:p>
        </w:tc>
      </w:tr>
      <w:tr w:rsidR="00985CC3" w:rsidRPr="00985CC3" w14:paraId="2EEC5A82" w14:textId="77777777" w:rsidTr="00AF1314">
        <w:trPr>
          <w:trHeight w:val="1062"/>
          <w:jc w:val="center"/>
        </w:trPr>
        <w:tc>
          <w:tcPr>
            <w:tcW w:w="1617" w:type="dxa"/>
            <w:vAlign w:val="center"/>
          </w:tcPr>
          <w:p w14:paraId="2DD3A40C" w14:textId="77777777"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2B491D0E" w14:textId="77777777" w:rsidR="000E1D47" w:rsidRDefault="000E1D47" w:rsidP="00B3076A">
            <w:pPr>
              <w:spacing w:beforeLines="50" w:before="120" w:afterLines="50" w:after="120"/>
              <w:jc w:val="both"/>
              <w:rPr>
                <w:rFonts w:ascii="標楷體" w:eastAsia="標楷體" w:hAnsi="標楷體"/>
                <w:sz w:val="28"/>
              </w:rPr>
            </w:pPr>
          </w:p>
        </w:tc>
      </w:tr>
      <w:tr w:rsidR="005F0CC7" w:rsidRPr="00985CC3" w14:paraId="06B0819E" w14:textId="77777777" w:rsidTr="00AF1314">
        <w:trPr>
          <w:trHeight w:val="3360"/>
          <w:jc w:val="center"/>
        </w:trPr>
        <w:tc>
          <w:tcPr>
            <w:tcW w:w="1617" w:type="dxa"/>
            <w:vAlign w:val="center"/>
          </w:tcPr>
          <w:p w14:paraId="3C58FE73" w14:textId="77777777"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14:paraId="3D2657B8" w14:textId="77777777"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w:t>
            </w:r>
            <w:r w:rsidR="00910776" w:rsidRPr="00174EA9">
              <w:rPr>
                <w:rFonts w:ascii="標楷體" w:eastAsia="標楷體" w:hAnsi="標楷體" w:hint="eastAsia"/>
                <w:u w:val="single"/>
              </w:rPr>
              <w:t>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14:paraId="030014CD" w14:textId="77777777"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14:paraId="352A9F9D"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14:paraId="3F3A2B25" w14:textId="77777777"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14:paraId="35960482" w14:textId="77777777" w:rsidR="00AF1314" w:rsidRDefault="00AF1314" w:rsidP="00AF1314">
            <w:pPr>
              <w:spacing w:beforeLines="50" w:before="120" w:afterLines="50" w:after="120"/>
              <w:jc w:val="both"/>
              <w:rPr>
                <w:rFonts w:ascii="標楷體" w:eastAsia="標楷體" w:hAnsi="標楷體"/>
              </w:rPr>
            </w:pPr>
          </w:p>
          <w:p w14:paraId="5737AF70" w14:textId="77777777"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14:paraId="0E524F15" w14:textId="77777777"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14:paraId="2E859462" w14:textId="77777777" w:rsidTr="00AF1314">
        <w:trPr>
          <w:trHeight w:val="5080"/>
          <w:jc w:val="center"/>
        </w:trPr>
        <w:tc>
          <w:tcPr>
            <w:tcW w:w="9340" w:type="dxa"/>
            <w:gridSpan w:val="2"/>
          </w:tcPr>
          <w:p w14:paraId="3C694B96" w14:textId="77777777"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14:paraId="559A33BD" w14:textId="77777777" w:rsidR="005F0CC7" w:rsidRDefault="005F0CC7">
      <w:pPr>
        <w:widowControl/>
        <w:rPr>
          <w:rFonts w:ascii="標楷體" w:eastAsia="標楷體" w:hAnsi="標楷體"/>
        </w:rPr>
      </w:pPr>
      <w:r>
        <w:rPr>
          <w:rFonts w:ascii="標楷體" w:eastAsia="標楷體" w:hAnsi="標楷體"/>
        </w:rPr>
        <w:br w:type="page"/>
      </w:r>
    </w:p>
    <w:p w14:paraId="17BFC616" w14:textId="77777777"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14:paraId="331EE71A" w14:textId="77777777"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43949142" w14:textId="77777777"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w:t>
      </w:r>
      <w:r w:rsidR="00942D84">
        <w:rPr>
          <w:rStyle w:val="a7"/>
          <w:rFonts w:eastAsia="標楷體" w:cs="Times New Roman" w:hint="eastAsia"/>
          <w:bCs w:val="0"/>
          <w:sz w:val="48"/>
          <w:szCs w:val="48"/>
        </w:rPr>
        <w:t>21</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14:paraId="35956F63" w14:textId="77777777"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14:paraId="3CFDB60D" w14:textId="77777777" w:rsidTr="00671D0B">
        <w:trPr>
          <w:jc w:val="center"/>
        </w:trPr>
        <w:tc>
          <w:tcPr>
            <w:tcW w:w="1603" w:type="dxa"/>
            <w:vAlign w:val="center"/>
          </w:tcPr>
          <w:p w14:paraId="40DEFDB6"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45B7F34D" w14:textId="77777777" w:rsidR="000E1D47" w:rsidRDefault="000E1D47" w:rsidP="00B3076A">
            <w:pPr>
              <w:spacing w:beforeLines="50" w:before="120" w:afterLines="50" w:after="120"/>
              <w:jc w:val="both"/>
              <w:rPr>
                <w:rFonts w:ascii="標楷體" w:eastAsia="標楷體" w:hAnsi="標楷體"/>
                <w:sz w:val="28"/>
              </w:rPr>
            </w:pPr>
          </w:p>
        </w:tc>
      </w:tr>
      <w:tr w:rsidR="00BB3E81" w:rsidRPr="002D09D6" w14:paraId="2CBB1027" w14:textId="77777777" w:rsidTr="00671D0B">
        <w:trPr>
          <w:jc w:val="center"/>
        </w:trPr>
        <w:tc>
          <w:tcPr>
            <w:tcW w:w="1603" w:type="dxa"/>
            <w:vAlign w:val="center"/>
          </w:tcPr>
          <w:p w14:paraId="6C3DEBD5" w14:textId="77777777"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1E8D45CA"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5AE69DEE" w14:textId="77777777" w:rsidTr="00671D0B">
        <w:trPr>
          <w:trHeight w:val="345"/>
          <w:jc w:val="center"/>
        </w:trPr>
        <w:tc>
          <w:tcPr>
            <w:tcW w:w="1603" w:type="dxa"/>
            <w:vAlign w:val="center"/>
          </w:tcPr>
          <w:p w14:paraId="1F6783BC" w14:textId="77777777"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6135756C" w14:textId="77777777" w:rsidR="000E1D47" w:rsidRDefault="000E1D47" w:rsidP="00B3076A">
            <w:pPr>
              <w:spacing w:beforeLines="50" w:before="120" w:afterLines="50" w:after="120"/>
              <w:jc w:val="both"/>
              <w:rPr>
                <w:rFonts w:ascii="標楷體" w:eastAsia="標楷體" w:hAnsi="標楷體"/>
                <w:sz w:val="28"/>
              </w:rPr>
            </w:pPr>
          </w:p>
        </w:tc>
      </w:tr>
      <w:tr w:rsidR="00C706A8" w:rsidRPr="00985CC3" w14:paraId="5434CBB4" w14:textId="77777777" w:rsidTr="00671D0B">
        <w:trPr>
          <w:trHeight w:val="345"/>
          <w:jc w:val="center"/>
        </w:trPr>
        <w:tc>
          <w:tcPr>
            <w:tcW w:w="1603" w:type="dxa"/>
            <w:vAlign w:val="center"/>
          </w:tcPr>
          <w:p w14:paraId="5C458A4D" w14:textId="77777777"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72D799D1"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3E7BAEDD" w14:textId="77777777" w:rsidTr="00671D0B">
        <w:trPr>
          <w:jc w:val="center"/>
        </w:trPr>
        <w:tc>
          <w:tcPr>
            <w:tcW w:w="1603" w:type="dxa"/>
            <w:vAlign w:val="center"/>
          </w:tcPr>
          <w:p w14:paraId="08779E12" w14:textId="77777777"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6FF7DEAB" w14:textId="77777777"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132646ED" w14:textId="77777777" w:rsidR="000E1D47" w:rsidRDefault="000E1D47" w:rsidP="00B3076A">
            <w:pPr>
              <w:spacing w:beforeLines="50" w:before="120" w:afterLines="50" w:after="120"/>
              <w:jc w:val="both"/>
              <w:rPr>
                <w:rFonts w:ascii="標楷體" w:eastAsia="標楷體" w:hAnsi="標楷體"/>
                <w:sz w:val="28"/>
              </w:rPr>
            </w:pPr>
          </w:p>
        </w:tc>
      </w:tr>
      <w:tr w:rsidR="00BB3E81" w:rsidRPr="00985CC3" w14:paraId="2B5A58E0" w14:textId="77777777" w:rsidTr="00671D0B">
        <w:trPr>
          <w:trHeight w:val="8084"/>
          <w:jc w:val="center"/>
        </w:trPr>
        <w:tc>
          <w:tcPr>
            <w:tcW w:w="9342" w:type="dxa"/>
            <w:gridSpan w:val="2"/>
            <w:tcBorders>
              <w:bottom w:val="single" w:sz="12" w:space="0" w:color="auto"/>
            </w:tcBorders>
          </w:tcPr>
          <w:p w14:paraId="29F03A0A" w14:textId="77777777"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7FEF5EBB"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14:paraId="1D12289E" w14:textId="77777777"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14:paraId="5CACF277" w14:textId="77777777"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14:paraId="71DE9A7E" w14:textId="77777777"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14:paraId="03D9B6C2" w14:textId="77777777"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w:t>
            </w:r>
            <w:r w:rsidR="00942D84">
              <w:rPr>
                <w:rFonts w:eastAsia="標楷體" w:hint="eastAsia"/>
                <w:bCs/>
                <w:sz w:val="28"/>
                <w:szCs w:val="28"/>
              </w:rPr>
              <w:t>21</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14:paraId="5244E201" w14:textId="77777777"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14:paraId="379F1CAD" w14:textId="77777777" w:rsidR="000E1D47" w:rsidRDefault="000E1D47" w:rsidP="00B3076A">
            <w:pPr>
              <w:spacing w:beforeLines="50" w:before="120" w:afterLines="50" w:after="120"/>
              <w:jc w:val="both"/>
              <w:rPr>
                <w:rFonts w:ascii="標楷體" w:eastAsia="標楷體" w:hAnsi="標楷體"/>
                <w:sz w:val="28"/>
              </w:rPr>
            </w:pPr>
          </w:p>
          <w:p w14:paraId="6E1BEA4B" w14:textId="77777777" w:rsidR="000E1D47" w:rsidRPr="00793C24" w:rsidRDefault="000E1D47" w:rsidP="00B3076A">
            <w:pPr>
              <w:spacing w:beforeLines="50" w:before="120" w:afterLines="50" w:after="120"/>
              <w:jc w:val="both"/>
              <w:rPr>
                <w:rFonts w:ascii="標楷體" w:eastAsia="標楷體" w:hAnsi="標楷體"/>
                <w:sz w:val="28"/>
              </w:rPr>
            </w:pPr>
          </w:p>
          <w:p w14:paraId="3FF82A18" w14:textId="77777777" w:rsidR="00CF38D1" w:rsidRDefault="00CF38D1" w:rsidP="00C706A8">
            <w:pPr>
              <w:snapToGrid w:val="0"/>
              <w:ind w:firstLineChars="693" w:firstLine="2218"/>
              <w:jc w:val="both"/>
              <w:rPr>
                <w:rFonts w:eastAsia="標楷體"/>
                <w:bCs/>
                <w:sz w:val="32"/>
                <w:shd w:val="pct15" w:color="auto" w:fill="FFFFFF"/>
              </w:rPr>
            </w:pPr>
          </w:p>
          <w:p w14:paraId="2E73B575" w14:textId="77777777" w:rsidR="00563051" w:rsidRDefault="00563051" w:rsidP="00C706A8">
            <w:pPr>
              <w:snapToGrid w:val="0"/>
              <w:ind w:firstLineChars="693" w:firstLine="2218"/>
              <w:jc w:val="both"/>
              <w:rPr>
                <w:rFonts w:eastAsia="標楷體"/>
                <w:bCs/>
                <w:sz w:val="32"/>
                <w:shd w:val="pct15" w:color="auto" w:fill="FFFFFF"/>
              </w:rPr>
            </w:pPr>
          </w:p>
          <w:p w14:paraId="28052212" w14:textId="77777777"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67F8DAD6" w14:textId="77777777"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50F03CD3" w14:textId="77777777" w:rsidR="00DD57C8" w:rsidRPr="00DD57C8" w:rsidRDefault="00C706A8" w:rsidP="00942D84">
            <w:pPr>
              <w:spacing w:beforeLines="50" w:before="120" w:afterLines="50" w:after="120"/>
              <w:ind w:firstLineChars="693" w:firstLine="2218"/>
              <w:jc w:val="both"/>
              <w:rPr>
                <w:rFonts w:eastAsia="標楷體"/>
                <w:bCs/>
                <w:sz w:val="32"/>
                <w:szCs w:val="32"/>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44104445" w14:textId="77777777"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14:paraId="3F17DC10" w14:textId="77777777"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14:paraId="11623937" w14:textId="77777777" w:rsidR="000E1D47" w:rsidRDefault="00942D84"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Pr>
          <w:rStyle w:val="a7"/>
          <w:rFonts w:eastAsia="標楷體" w:cs="Times New Roman"/>
          <w:bCs w:val="0"/>
          <w:sz w:val="48"/>
          <w:szCs w:val="48"/>
        </w:rPr>
        <w:t>20</w:t>
      </w:r>
      <w:r>
        <w:rPr>
          <w:rStyle w:val="a7"/>
          <w:rFonts w:eastAsia="標楷體" w:cs="Times New Roman" w:hint="eastAsia"/>
          <w:bCs w:val="0"/>
          <w:sz w:val="48"/>
          <w:szCs w:val="48"/>
        </w:rPr>
        <w:t>21</w:t>
      </w:r>
      <w:r w:rsidR="004C7F30" w:rsidRPr="002E42BC">
        <w:rPr>
          <w:rStyle w:val="a7"/>
          <w:rFonts w:ascii="Times New Roman" w:eastAsia="標楷體" w:hAnsi="標楷體" w:cs="Times New Roman"/>
          <w:bCs w:val="0"/>
          <w:sz w:val="48"/>
          <w:szCs w:val="48"/>
        </w:rPr>
        <w:t>全國</w:t>
      </w:r>
      <w:r w:rsidR="004C7F30" w:rsidRPr="002E42BC">
        <w:rPr>
          <w:rStyle w:val="a7"/>
          <w:rFonts w:ascii="Times New Roman" w:eastAsia="標楷體" w:hAnsi="標楷體" w:cs="Times New Roman" w:hint="eastAsia"/>
          <w:bCs w:val="0"/>
          <w:sz w:val="48"/>
          <w:szCs w:val="48"/>
        </w:rPr>
        <w:t>學校經營與教學創新</w:t>
      </w:r>
      <w:r w:rsidR="004C7F30" w:rsidRPr="002E42BC">
        <w:rPr>
          <w:rStyle w:val="a7"/>
          <w:rFonts w:eastAsia="標楷體" w:cs="Times New Roman"/>
          <w:bCs w:val="0"/>
          <w:sz w:val="48"/>
          <w:szCs w:val="48"/>
        </w:rPr>
        <w:t>KDP</w:t>
      </w:r>
      <w:r w:rsidR="004C7F30" w:rsidRPr="002E42BC">
        <w:rPr>
          <w:rStyle w:val="a7"/>
          <w:rFonts w:ascii="Times New Roman" w:eastAsia="標楷體" w:hAnsi="標楷體" w:cs="Times New Roman"/>
          <w:bCs w:val="0"/>
          <w:sz w:val="48"/>
          <w:szCs w:val="48"/>
        </w:rPr>
        <w:t>國際認證獎</w:t>
      </w:r>
    </w:p>
    <w:p w14:paraId="0039BFF0" w14:textId="77777777"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14:paraId="71227736" w14:textId="77777777" w:rsidTr="004C7F30">
        <w:trPr>
          <w:trHeight w:val="600"/>
          <w:jc w:val="center"/>
        </w:trPr>
        <w:tc>
          <w:tcPr>
            <w:tcW w:w="1674" w:type="dxa"/>
            <w:vAlign w:val="center"/>
          </w:tcPr>
          <w:p w14:paraId="4284FC3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02CC4291" w14:textId="77777777" w:rsidR="004C7F30" w:rsidRPr="00935FB3" w:rsidRDefault="004C7F30" w:rsidP="00671D0B">
            <w:pPr>
              <w:rPr>
                <w:rFonts w:eastAsia="標楷體"/>
                <w:sz w:val="28"/>
                <w:szCs w:val="28"/>
              </w:rPr>
            </w:pPr>
          </w:p>
        </w:tc>
      </w:tr>
      <w:tr w:rsidR="004C7F30" w:rsidRPr="002D09D6" w14:paraId="33BA2D6A" w14:textId="77777777" w:rsidTr="004C7F30">
        <w:trPr>
          <w:trHeight w:val="600"/>
          <w:jc w:val="center"/>
        </w:trPr>
        <w:tc>
          <w:tcPr>
            <w:tcW w:w="1674" w:type="dxa"/>
            <w:vAlign w:val="center"/>
          </w:tcPr>
          <w:p w14:paraId="524437D9" w14:textId="77777777"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1E1F5986" w14:textId="77777777" w:rsidR="004C7F30" w:rsidRPr="002D09D6" w:rsidRDefault="004C7F30" w:rsidP="00671D0B">
            <w:pPr>
              <w:rPr>
                <w:rFonts w:eastAsia="標楷體"/>
                <w:bCs/>
                <w:sz w:val="28"/>
                <w:szCs w:val="28"/>
              </w:rPr>
            </w:pPr>
          </w:p>
        </w:tc>
      </w:tr>
      <w:tr w:rsidR="004C7F30" w:rsidRPr="00935FB3" w14:paraId="733F0961" w14:textId="77777777" w:rsidTr="004C7F30">
        <w:trPr>
          <w:trHeight w:val="600"/>
          <w:jc w:val="center"/>
        </w:trPr>
        <w:tc>
          <w:tcPr>
            <w:tcW w:w="1674" w:type="dxa"/>
            <w:vAlign w:val="center"/>
          </w:tcPr>
          <w:p w14:paraId="086D1D25" w14:textId="77777777"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5D03BB8D" w14:textId="77777777" w:rsidR="004C7F30" w:rsidRPr="00935FB3" w:rsidRDefault="004C7F30" w:rsidP="00671D0B">
            <w:pPr>
              <w:rPr>
                <w:rFonts w:eastAsia="標楷體"/>
                <w:bCs/>
                <w:sz w:val="28"/>
                <w:szCs w:val="28"/>
              </w:rPr>
            </w:pPr>
          </w:p>
        </w:tc>
      </w:tr>
      <w:tr w:rsidR="004C7F30" w:rsidRPr="00935FB3" w14:paraId="4B0F42AB" w14:textId="77777777" w:rsidTr="004C7F30">
        <w:trPr>
          <w:trHeight w:val="600"/>
          <w:jc w:val="center"/>
        </w:trPr>
        <w:tc>
          <w:tcPr>
            <w:tcW w:w="1674" w:type="dxa"/>
            <w:vAlign w:val="center"/>
          </w:tcPr>
          <w:p w14:paraId="5457C36D" w14:textId="77777777"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45F109BC" w14:textId="77777777" w:rsidR="004C7F30" w:rsidRPr="00935FB3" w:rsidRDefault="004C7F30" w:rsidP="00671D0B">
            <w:pPr>
              <w:rPr>
                <w:rFonts w:eastAsia="標楷體"/>
                <w:bCs/>
                <w:sz w:val="28"/>
                <w:szCs w:val="28"/>
              </w:rPr>
            </w:pPr>
          </w:p>
        </w:tc>
      </w:tr>
      <w:tr w:rsidR="004C7F30" w:rsidRPr="00935FB3" w14:paraId="1558AFFB" w14:textId="77777777" w:rsidTr="004C7F30">
        <w:trPr>
          <w:trHeight w:val="600"/>
          <w:jc w:val="center"/>
        </w:trPr>
        <w:tc>
          <w:tcPr>
            <w:tcW w:w="1674" w:type="dxa"/>
            <w:vAlign w:val="center"/>
          </w:tcPr>
          <w:p w14:paraId="237D7E01" w14:textId="77777777"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057A4B6" w14:textId="77777777"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5D56A45F" w14:textId="77777777" w:rsidR="00671D0B" w:rsidRPr="00BB5C35" w:rsidRDefault="00671D0B" w:rsidP="00471AD3">
            <w:pPr>
              <w:snapToGrid w:val="0"/>
              <w:jc w:val="both"/>
              <w:rPr>
                <w:rFonts w:eastAsia="標楷體"/>
                <w:bCs/>
                <w:sz w:val="28"/>
                <w:szCs w:val="28"/>
              </w:rPr>
            </w:pPr>
          </w:p>
          <w:p w14:paraId="5FECAA93" w14:textId="77777777" w:rsidR="004C7F30" w:rsidRPr="00BB5C35" w:rsidRDefault="004C7F30" w:rsidP="00671D0B">
            <w:pPr>
              <w:jc w:val="center"/>
              <w:rPr>
                <w:rFonts w:eastAsia="標楷體"/>
                <w:sz w:val="28"/>
                <w:szCs w:val="28"/>
              </w:rPr>
            </w:pPr>
          </w:p>
        </w:tc>
      </w:tr>
      <w:tr w:rsidR="004C7F30" w:rsidRPr="00935FB3" w14:paraId="25381E49" w14:textId="77777777" w:rsidTr="00671D0B">
        <w:trPr>
          <w:trHeight w:val="600"/>
          <w:jc w:val="center"/>
        </w:trPr>
        <w:tc>
          <w:tcPr>
            <w:tcW w:w="1674" w:type="dxa"/>
            <w:vAlign w:val="center"/>
          </w:tcPr>
          <w:p w14:paraId="0663FD37" w14:textId="77777777"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14:paraId="44F5CFF7" w14:textId="77777777"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14:paraId="391AF38F" w14:textId="77777777" w:rsidTr="004C7F30">
        <w:trPr>
          <w:trHeight w:val="600"/>
          <w:jc w:val="center"/>
        </w:trPr>
        <w:tc>
          <w:tcPr>
            <w:tcW w:w="1674" w:type="dxa"/>
            <w:vAlign w:val="center"/>
          </w:tcPr>
          <w:p w14:paraId="74EE8B0B" w14:textId="77777777"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14:paraId="7E590B7F" w14:textId="77777777" w:rsidR="004C7F30" w:rsidRPr="00935FB3" w:rsidRDefault="004C7F30" w:rsidP="00942D84">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21</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26</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14:paraId="5234A5E7" w14:textId="77777777" w:rsidTr="00CF38D1">
        <w:trPr>
          <w:trHeight w:val="7177"/>
          <w:jc w:val="center"/>
        </w:trPr>
        <w:tc>
          <w:tcPr>
            <w:tcW w:w="9714" w:type="dxa"/>
            <w:gridSpan w:val="2"/>
          </w:tcPr>
          <w:p w14:paraId="59FE887E"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14C737EC" w14:textId="77777777"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14:paraId="39B90CA9" w14:textId="77777777" w:rsidR="004C7F30" w:rsidRPr="00935FB3" w:rsidRDefault="004C7F30" w:rsidP="008270EE">
            <w:pPr>
              <w:spacing w:line="460" w:lineRule="exact"/>
              <w:jc w:val="both"/>
              <w:rPr>
                <w:rFonts w:eastAsia="標楷體"/>
                <w:sz w:val="32"/>
              </w:rPr>
            </w:pPr>
          </w:p>
          <w:p w14:paraId="0B278484" w14:textId="77777777"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06137C9F" w14:textId="77777777"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14:paraId="34A089DF" w14:textId="77777777"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14:paraId="0DD60D00" w14:textId="77777777" w:rsidR="00BB5C35" w:rsidRDefault="00BB5C35" w:rsidP="00BB5C35">
            <w:pPr>
              <w:snapToGrid w:val="0"/>
              <w:ind w:firstLineChars="693" w:firstLine="1940"/>
              <w:jc w:val="both"/>
              <w:rPr>
                <w:rFonts w:eastAsia="標楷體"/>
                <w:sz w:val="28"/>
              </w:rPr>
            </w:pPr>
            <w:r>
              <w:rPr>
                <w:rFonts w:eastAsia="標楷體"/>
                <w:sz w:val="28"/>
              </w:rPr>
              <w:t xml:space="preserve">　</w:t>
            </w:r>
          </w:p>
          <w:p w14:paraId="67BD7C6F" w14:textId="77777777" w:rsidR="00CF38D1" w:rsidRDefault="00CF38D1" w:rsidP="00BB5C35">
            <w:pPr>
              <w:snapToGrid w:val="0"/>
              <w:ind w:firstLineChars="693" w:firstLine="2218"/>
              <w:jc w:val="both"/>
              <w:rPr>
                <w:rFonts w:eastAsia="標楷體"/>
                <w:bCs/>
                <w:sz w:val="32"/>
                <w:shd w:val="pct15" w:color="auto" w:fill="FFFFFF"/>
              </w:rPr>
            </w:pPr>
          </w:p>
          <w:p w14:paraId="6B5B9A72" w14:textId="77777777" w:rsidR="00563051" w:rsidRDefault="00563051" w:rsidP="00BB5C35">
            <w:pPr>
              <w:snapToGrid w:val="0"/>
              <w:ind w:firstLineChars="693" w:firstLine="2218"/>
              <w:jc w:val="both"/>
              <w:rPr>
                <w:rFonts w:eastAsia="標楷體"/>
                <w:bCs/>
                <w:sz w:val="32"/>
                <w:shd w:val="pct15" w:color="auto" w:fill="FFFFFF"/>
              </w:rPr>
            </w:pPr>
          </w:p>
          <w:p w14:paraId="3440E560" w14:textId="77777777"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14:paraId="38AC6553" w14:textId="77777777"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8B7E5A3" w14:textId="77777777" w:rsidR="00563051" w:rsidRPr="00BB5C35" w:rsidRDefault="00563051" w:rsidP="00BB5C35">
            <w:pPr>
              <w:snapToGrid w:val="0"/>
              <w:ind w:firstLineChars="853" w:firstLine="2218"/>
              <w:jc w:val="both"/>
              <w:rPr>
                <w:rFonts w:eastAsia="標楷體"/>
                <w:bCs/>
                <w:sz w:val="26"/>
                <w:szCs w:val="26"/>
                <w:shd w:val="pct15" w:color="auto" w:fill="FFFFFF"/>
              </w:rPr>
            </w:pPr>
          </w:p>
          <w:p w14:paraId="51F178CD" w14:textId="77777777" w:rsidR="00BB5C35" w:rsidRPr="00BB5C35" w:rsidRDefault="00BB5C35" w:rsidP="00BB5C35">
            <w:pPr>
              <w:snapToGrid w:val="0"/>
              <w:ind w:firstLineChars="693" w:firstLine="2218"/>
              <w:jc w:val="both"/>
              <w:rPr>
                <w:rFonts w:eastAsia="標楷體"/>
                <w:bCs/>
                <w:sz w:val="26"/>
                <w:szCs w:val="26"/>
                <w:shd w:val="pct15" w:color="auto" w:fill="FFFFFF"/>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2021</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37B44177" w14:textId="77777777" w:rsidR="004C7F30" w:rsidRPr="004C7F30" w:rsidRDefault="004C7F30" w:rsidP="008270EE">
            <w:pPr>
              <w:spacing w:line="460" w:lineRule="exact"/>
              <w:jc w:val="right"/>
              <w:rPr>
                <w:rFonts w:eastAsia="標楷體"/>
                <w:sz w:val="28"/>
              </w:rPr>
            </w:pPr>
          </w:p>
          <w:p w14:paraId="194048C6" w14:textId="77777777" w:rsidR="004C7F30" w:rsidRPr="00BB5C35" w:rsidRDefault="004C7F30" w:rsidP="00BB5C35">
            <w:pPr>
              <w:spacing w:line="460" w:lineRule="exact"/>
              <w:jc w:val="right"/>
              <w:rPr>
                <w:rFonts w:eastAsia="標楷體"/>
                <w:sz w:val="28"/>
              </w:rPr>
            </w:pPr>
          </w:p>
        </w:tc>
      </w:tr>
    </w:tbl>
    <w:p w14:paraId="48CD5DD1" w14:textId="77777777"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14:paraId="0994FF09" w14:textId="77777777"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3408A329" w14:textId="77777777"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4A6819C9" w14:textId="77777777"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14:paraId="16B20F36" w14:textId="77777777"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14:paraId="47FE4044" w14:textId="77777777"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14:paraId="7FF44CA3" w14:textId="77777777"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14:paraId="5A2D048C" w14:textId="77777777"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14:paraId="0C14481A" w14:textId="77777777"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14:paraId="011ECDBD" w14:textId="77777777"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14:paraId="15C7794B" w14:textId="77777777"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14:paraId="2084FD7A" w14:textId="77777777"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14:paraId="28FCFE63"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14:paraId="0CB7DB9F" w14:textId="77777777"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14:paraId="04710EB6" w14:textId="77777777"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14:paraId="004E10D5" w14:textId="77777777"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14:paraId="4DE879C2" w14:textId="77777777"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14:paraId="6A93D66A" w14:textId="77777777"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14:paraId="44958343"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14:paraId="36D98A9D" w14:textId="77777777"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14:paraId="52A78ABE" w14:textId="77777777"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14:paraId="00826F79" w14:textId="77777777"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14:paraId="26FB1D45" w14:textId="77777777"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14:paraId="0A9EAF45" w14:textId="77777777"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14:paraId="04B6A8D3" w14:textId="77777777"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14:paraId="6E774BB4" w14:textId="77777777"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14:paraId="71A01E8D" w14:textId="77777777"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14:paraId="26C10DDF" w14:textId="77777777"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14:paraId="573DE739" w14:textId="77777777"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w:t>
      </w:r>
      <w:r w:rsidR="0067658D">
        <w:rPr>
          <w:rFonts w:eastAsia="標楷體" w:hint="eastAsia"/>
          <w:b/>
          <w:bCs/>
          <w:sz w:val="44"/>
        </w:rPr>
        <w:t>21</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7CDC4CEC" w14:textId="77777777"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2A7FE40F" w14:textId="77777777"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14:paraId="075CE3B4" w14:textId="77777777"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14:paraId="1198121D"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14:paraId="11FB8BF9" w14:textId="77777777"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14:paraId="7A35941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14:paraId="747F1EE1"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14:paraId="4BD0869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14:paraId="19C720A6"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14:paraId="073C4E16" w14:textId="77777777"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14:paraId="2F8C43F0"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14:paraId="33170C87"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14:paraId="164875AE" w14:textId="77777777"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14:paraId="74D7577E" w14:textId="77777777"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04448153" w14:textId="77777777"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14:paraId="53220D11"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14:paraId="5C5C1CB1" w14:textId="77777777"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14:paraId="54C59222" w14:textId="77777777"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14:paraId="3A84086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14:paraId="7643406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0D0A2887" w14:textId="77777777"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14:paraId="59C1819B"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14:paraId="6F960AD8"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6A2B041E"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0F49D249" w14:textId="77777777"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14:paraId="1E14F6C4" w14:textId="77777777"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14:paraId="254B722E" w14:textId="77777777"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14:paraId="5A68124C" w14:textId="77777777"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14:paraId="6592C14D" w14:textId="77777777" w:rsidR="00563051" w:rsidRDefault="00563051">
      <w:pPr>
        <w:widowControl/>
        <w:rPr>
          <w:rFonts w:eastAsia="標楷體"/>
          <w:color w:val="000000"/>
          <w:szCs w:val="28"/>
        </w:rPr>
      </w:pPr>
      <w:r>
        <w:rPr>
          <w:rFonts w:eastAsia="標楷體"/>
          <w:color w:val="000000"/>
          <w:szCs w:val="28"/>
        </w:rPr>
        <w:br w:type="page"/>
      </w:r>
    </w:p>
    <w:p w14:paraId="4A0EA30E" w14:textId="77777777" w:rsidR="00563051" w:rsidRPr="00AD0685" w:rsidRDefault="00563051" w:rsidP="00563051">
      <w:pPr>
        <w:widowControl/>
        <w:rPr>
          <w:rFonts w:eastAsia="標楷體"/>
          <w:b/>
          <w:bCs/>
          <w:sz w:val="48"/>
          <w:szCs w:val="48"/>
        </w:rPr>
      </w:pPr>
      <w:r>
        <w:rPr>
          <w:rFonts w:eastAsia="標楷體" w:hint="eastAsia"/>
          <w:szCs w:val="24"/>
        </w:rPr>
        <w:lastRenderedPageBreak/>
        <w:t>附件七</w:t>
      </w:r>
    </w:p>
    <w:p w14:paraId="2E922222" w14:textId="77777777"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14:paraId="37344838" w14:textId="77777777" w:rsidR="00563051" w:rsidRPr="00AD0685" w:rsidRDefault="00563051" w:rsidP="00563051">
      <w:pPr>
        <w:spacing w:afterLines="50" w:after="120" w:line="460" w:lineRule="exact"/>
        <w:jc w:val="center"/>
        <w:rPr>
          <w:rFonts w:eastAsia="標楷體"/>
          <w:b/>
          <w:bCs/>
          <w:sz w:val="40"/>
          <w:szCs w:val="40"/>
        </w:rPr>
      </w:pPr>
    </w:p>
    <w:p w14:paraId="6BC36C53"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1401A326" w14:textId="77777777" w:rsidTr="000A0471">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31FA024" w14:textId="77777777" w:rsidR="00563051" w:rsidRPr="00AD0685" w:rsidRDefault="00563051" w:rsidP="000A0471">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2F4F65D0" w14:textId="77777777" w:rsidR="00563051" w:rsidRPr="00AD0685" w:rsidRDefault="00563051" w:rsidP="000A0471">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14:paraId="55E30B51" w14:textId="77777777" w:rsidTr="000A0471">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1DDCA054" w14:textId="77777777" w:rsidR="00563051" w:rsidRPr="00AD0685" w:rsidRDefault="00563051" w:rsidP="000A0471">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14:paraId="33FF80D8"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6BFEBF8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270573F5"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73E4B8F"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4BE5605A"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39AE2766"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692A5190"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1787F587" w14:textId="77777777" w:rsidR="00563051" w:rsidRPr="00AD0685" w:rsidRDefault="00563051" w:rsidP="000A0471">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14:paraId="0FE407DE" w14:textId="77777777" w:rsidTr="000A0471">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23603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14:paraId="6D1E42B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F30C6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30922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964CDB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B34F1F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933A70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D9BEC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1CC910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A006299"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A0E991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14:paraId="5D136E6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14:paraId="4D7F52F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89E96A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705BAF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E16D37"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27C3A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8B980"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8413E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B5DFA5C"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BD351C4"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14:paraId="44F478E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71D0538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021085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4977D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86B66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10D58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DD624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1038C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7D03DF"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F5A88B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14:paraId="7F3CBB6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7EDA13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24E127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8266EF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157CB6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C5F12E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6476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713324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4EFBD0D7"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50A44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14:paraId="15EBF47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0EBB5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36F73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B5D7C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3E25053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457009"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BE7E26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9E69C0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72474C2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2D87B95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14:paraId="4ADD6A3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B416BC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7D0349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97E5E6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FF824D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DAAA912"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2724E4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4D55DE8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2687960A" w14:textId="77777777" w:rsidTr="000A0471">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3441E703"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14:paraId="5F482C63"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BCB0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01097995"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38A0418"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40CC0B0D"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6ED0BA1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14:paraId="5880631E"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14:paraId="5067507C"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14:paraId="346A3DEA" w14:textId="77777777" w:rsidTr="000A0471">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3A93D42D" w14:textId="77777777" w:rsidR="00563051" w:rsidRPr="00AD0685" w:rsidRDefault="00563051" w:rsidP="000A0471">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14:paraId="543F945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629DCB1"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2F04300B"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4EB3E33F"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6621CC2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39A15C44"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14:paraId="7E5D78B6"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14:paraId="62ECE06A" w14:textId="77777777" w:rsidR="00563051" w:rsidRPr="00AD0685" w:rsidRDefault="00563051" w:rsidP="000A0471">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14:paraId="6AD61A10" w14:textId="77777777" w:rsidR="00563051" w:rsidRDefault="00563051" w:rsidP="00563051">
      <w:pPr>
        <w:spacing w:beforeLines="50" w:before="120" w:line="460" w:lineRule="exact"/>
        <w:ind w:left="480"/>
        <w:rPr>
          <w:rFonts w:eastAsia="標楷體"/>
          <w:b/>
          <w:bCs/>
          <w:sz w:val="28"/>
        </w:rPr>
      </w:pPr>
    </w:p>
    <w:p w14:paraId="32B2D2C5" w14:textId="77777777" w:rsidR="00563051" w:rsidRDefault="00563051" w:rsidP="00563051">
      <w:pPr>
        <w:spacing w:beforeLines="50" w:before="120" w:line="460" w:lineRule="exact"/>
        <w:ind w:left="480"/>
        <w:rPr>
          <w:rFonts w:eastAsia="標楷體"/>
          <w:b/>
          <w:bCs/>
          <w:sz w:val="28"/>
        </w:rPr>
      </w:pPr>
    </w:p>
    <w:p w14:paraId="114CAC42" w14:textId="77777777"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14:paraId="0F11B257" w14:textId="77777777" w:rsidTr="000A0471">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4579078A"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14:paraId="4F230F60" w14:textId="77777777" w:rsidR="00563051" w:rsidRPr="00AD0685" w:rsidRDefault="00563051" w:rsidP="000A0471">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14:paraId="5EB58BDF" w14:textId="77777777" w:rsidTr="000A0471">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14:paraId="34F36CA0" w14:textId="77777777" w:rsidR="00563051" w:rsidRPr="00AD0685" w:rsidRDefault="00563051" w:rsidP="000A0471">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14:paraId="799B18BA"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14:paraId="4E10994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14:paraId="6DD4D616"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14:paraId="19260B05"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14:paraId="63819090"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14:paraId="7C93C4AB"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14:paraId="4BECC497"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14:paraId="553EA10E" w14:textId="77777777" w:rsidR="00563051" w:rsidRPr="00AD0685" w:rsidRDefault="00563051" w:rsidP="000A0471">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14:paraId="7D0BD334" w14:textId="77777777" w:rsidTr="000A0471">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5C3D887"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556B02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B16F0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6FC96A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32BCF2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2B78A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41721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7C3503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EA640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76D6786"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B2655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5BE72A7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546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14:paraId="172D5D7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6867C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619E8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0A553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D74DC9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73FD8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2C4F665E"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B294FDA"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AE945A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222AB7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71958F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77AA7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3D2844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2A29E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2958783"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D7C8035"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7DC35463"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7D16FA63"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590AAC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9F4E6E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34B8FA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4D1C73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ED3630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E8A5D7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D31070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CE7A57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62EBE004"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498966D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73ABF7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3CEFF2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71F88B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FCC66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4F782E0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089A08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E0FFF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4C7754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183F53C2"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0DFDD98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14:paraId="5E8E4B2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13E726B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25C3F4E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996CF8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9A556A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FAE764"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528BB82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5256FD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0F40C3B5" w14:textId="77777777" w:rsidTr="000A0471">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507D011B"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14:paraId="66A05B8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0E4010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608C2E9"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092A3C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3452D0BB"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81E559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14:paraId="6EC79DBC"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14:paraId="7AFB217D"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14:paraId="332F4B9E" w14:textId="77777777" w:rsidTr="000A0471">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14:paraId="42A09DA4" w14:textId="77777777" w:rsidR="00563051" w:rsidRPr="00AD0685" w:rsidRDefault="00563051" w:rsidP="000A0471">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14:paraId="26CC80D6"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0E774692"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10DB04B1"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D4FAFE0"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51AF958"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66DC7E0E"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14:paraId="33DCDE2A"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14:paraId="3B43CD7F" w14:textId="77777777" w:rsidR="00563051" w:rsidRPr="00AD0685" w:rsidRDefault="00563051" w:rsidP="000A0471">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14:paraId="3874B501" w14:textId="77777777" w:rsidR="00563051" w:rsidRPr="00AD0685" w:rsidRDefault="00563051" w:rsidP="00563051">
      <w:pPr>
        <w:snapToGrid w:val="0"/>
        <w:ind w:left="482"/>
        <w:rPr>
          <w:rFonts w:eastAsia="標楷體"/>
          <w:b/>
          <w:bCs/>
          <w:sz w:val="2"/>
          <w:szCs w:val="2"/>
        </w:rPr>
      </w:pPr>
    </w:p>
    <w:p w14:paraId="7050C193" w14:textId="77777777" w:rsidR="00E42885" w:rsidRPr="00A93FAF" w:rsidRDefault="00E42885" w:rsidP="00563051">
      <w:pPr>
        <w:snapToGrid w:val="0"/>
        <w:spacing w:line="400" w:lineRule="exact"/>
        <w:ind w:left="960"/>
        <w:jc w:val="both"/>
        <w:rPr>
          <w:rFonts w:eastAsia="標楷體"/>
          <w:color w:val="000000"/>
          <w:szCs w:val="28"/>
        </w:rPr>
      </w:pPr>
    </w:p>
    <w:p w14:paraId="651F18EA" w14:textId="77777777"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14:paraId="750BB43A" w14:textId="77777777"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14:paraId="5D0E1280" w14:textId="77777777"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14:paraId="7FE89508" w14:textId="77777777"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14:paraId="18AA60A0"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14:paraId="5B499265" w14:textId="77777777"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14:paraId="30821657" w14:textId="77777777"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14:paraId="099FE5CB" w14:textId="77777777" w:rsidR="00F97023" w:rsidRPr="00935FB3" w:rsidRDefault="00F97023" w:rsidP="00D36A53">
      <w:pPr>
        <w:spacing w:afterLines="50" w:after="120" w:line="460" w:lineRule="exact"/>
        <w:ind w:firstLineChars="100" w:firstLine="320"/>
        <w:rPr>
          <w:rFonts w:ascii="標楷體" w:eastAsia="標楷體" w:hAnsi="標楷體"/>
          <w:b/>
          <w:sz w:val="32"/>
          <w:szCs w:val="32"/>
        </w:rPr>
      </w:pPr>
    </w:p>
    <w:p w14:paraId="563F5C95" w14:textId="77777777"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14:paraId="57CFB70A" w14:textId="77777777"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14:paraId="56ADDE96" w14:textId="77777777"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w:t>
      </w:r>
      <w:r w:rsidR="0067658D">
        <w:rPr>
          <w:rFonts w:eastAsia="標楷體" w:hint="eastAsia"/>
          <w:b/>
          <w:sz w:val="32"/>
          <w:szCs w:val="32"/>
        </w:rPr>
        <w:t>21</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14:paraId="772D074B" w14:textId="77777777" w:rsidTr="00F7256A">
        <w:tc>
          <w:tcPr>
            <w:tcW w:w="4210" w:type="dxa"/>
            <w:tcBorders>
              <w:top w:val="single" w:sz="4" w:space="0" w:color="auto"/>
              <w:left w:val="single" w:sz="4" w:space="0" w:color="auto"/>
              <w:bottom w:val="single" w:sz="4" w:space="0" w:color="auto"/>
              <w:right w:val="single" w:sz="4" w:space="0" w:color="auto"/>
            </w:tcBorders>
          </w:tcPr>
          <w:p w14:paraId="6741062B" w14:textId="77777777"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14:paraId="44968C1E"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14:paraId="5E8A3556" w14:textId="77777777"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14:paraId="104F1025" w14:textId="77777777" w:rsidTr="00F7256A">
        <w:tc>
          <w:tcPr>
            <w:tcW w:w="4210" w:type="dxa"/>
            <w:tcBorders>
              <w:top w:val="single" w:sz="4" w:space="0" w:color="auto"/>
              <w:left w:val="single" w:sz="4" w:space="0" w:color="auto"/>
              <w:bottom w:val="single" w:sz="4" w:space="0" w:color="auto"/>
              <w:right w:val="single" w:sz="4" w:space="0" w:color="auto"/>
            </w:tcBorders>
          </w:tcPr>
          <w:p w14:paraId="157DCD66" w14:textId="77777777"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14:paraId="163D6CFE" w14:textId="77777777"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14:paraId="4D8B02D2"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14:paraId="68F8151E"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4344C854" w14:textId="77777777" w:rsidTr="00F7256A">
        <w:tc>
          <w:tcPr>
            <w:tcW w:w="4210" w:type="dxa"/>
            <w:tcBorders>
              <w:top w:val="single" w:sz="4" w:space="0" w:color="auto"/>
              <w:left w:val="single" w:sz="4" w:space="0" w:color="auto"/>
              <w:bottom w:val="single" w:sz="4" w:space="0" w:color="auto"/>
              <w:right w:val="single" w:sz="4" w:space="0" w:color="auto"/>
            </w:tcBorders>
          </w:tcPr>
          <w:p w14:paraId="442B12AA"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w:t>
            </w:r>
            <w:proofErr w:type="gramStart"/>
            <w:r w:rsidR="00A2612A" w:rsidRPr="00941C98">
              <w:rPr>
                <w:rFonts w:ascii="標楷體" w:eastAsia="標楷體" w:hAnsi="標楷體" w:hint="eastAsia"/>
                <w:sz w:val="28"/>
                <w:szCs w:val="28"/>
              </w:rPr>
              <w:t>檔</w:t>
            </w:r>
            <w:proofErr w:type="gramEnd"/>
            <w:r w:rsidR="00A2612A" w:rsidRPr="00941C98">
              <w:rPr>
                <w:rFonts w:ascii="標楷體" w:eastAsia="標楷體" w:hAnsi="標楷體" w:hint="eastAsia"/>
                <w:sz w:val="28"/>
                <w:szCs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14:paraId="4377D89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67BC70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7CA2B1D6" w14:textId="77777777" w:rsidTr="00F7256A">
        <w:tc>
          <w:tcPr>
            <w:tcW w:w="4210" w:type="dxa"/>
            <w:tcBorders>
              <w:top w:val="single" w:sz="4" w:space="0" w:color="auto"/>
              <w:left w:val="single" w:sz="4" w:space="0" w:color="auto"/>
              <w:bottom w:val="single" w:sz="4" w:space="0" w:color="auto"/>
              <w:right w:val="single" w:sz="4" w:space="0" w:color="auto"/>
            </w:tcBorders>
          </w:tcPr>
          <w:p w14:paraId="40C61A01" w14:textId="77777777"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14:paraId="0AE069E4" w14:textId="77777777"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5E4AF4EB"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14:paraId="6DD38811" w14:textId="77777777" w:rsidTr="00F7256A">
        <w:tc>
          <w:tcPr>
            <w:tcW w:w="4210" w:type="dxa"/>
            <w:tcBorders>
              <w:top w:val="single" w:sz="4" w:space="0" w:color="auto"/>
              <w:left w:val="single" w:sz="4" w:space="0" w:color="auto"/>
              <w:bottom w:val="single" w:sz="4" w:space="0" w:color="auto"/>
              <w:right w:val="single" w:sz="4" w:space="0" w:color="auto"/>
            </w:tcBorders>
          </w:tcPr>
          <w:p w14:paraId="088D501D" w14:textId="77777777"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14:paraId="30471545" w14:textId="77777777"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3207BC67" w14:textId="77777777"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14:paraId="32577A6B" w14:textId="77777777" w:rsidTr="00F7256A">
        <w:tc>
          <w:tcPr>
            <w:tcW w:w="4210" w:type="dxa"/>
            <w:tcBorders>
              <w:top w:val="single" w:sz="4" w:space="0" w:color="auto"/>
              <w:left w:val="single" w:sz="4" w:space="0" w:color="auto"/>
              <w:bottom w:val="single" w:sz="4" w:space="0" w:color="auto"/>
              <w:right w:val="single" w:sz="4" w:space="0" w:color="auto"/>
            </w:tcBorders>
          </w:tcPr>
          <w:p w14:paraId="6717ED68" w14:textId="77777777"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14:paraId="1BFBAB17" w14:textId="77777777"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14:paraId="20DF51F2" w14:textId="77777777"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14:paraId="50606D2A" w14:textId="77777777"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14:paraId="61003BFA" w14:textId="77777777"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w:t>
            </w:r>
            <w:proofErr w:type="gramStart"/>
            <w:r w:rsidRPr="004D35BF">
              <w:rPr>
                <w:rFonts w:ascii="標楷體" w:eastAsia="標楷體" w:hAnsi="標楷體"/>
                <w:sz w:val="28"/>
              </w:rPr>
              <w:t>黏</w:t>
            </w:r>
            <w:proofErr w:type="gramEnd"/>
          </w:p>
          <w:p w14:paraId="6109CF3E" w14:textId="77777777"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14:paraId="1E48D6D3" w14:textId="77777777"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14:paraId="6B662C13" w14:textId="77777777"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8F4A" w14:textId="77777777" w:rsidR="000C7650" w:rsidRDefault="000C7650" w:rsidP="00AC3E13">
      <w:r>
        <w:separator/>
      </w:r>
    </w:p>
  </w:endnote>
  <w:endnote w:type="continuationSeparator" w:id="0">
    <w:p w14:paraId="190EB850" w14:textId="77777777" w:rsidR="000C7650" w:rsidRDefault="000C7650"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14:paraId="6603670A" w14:textId="77777777" w:rsidR="008B27D0" w:rsidRDefault="008B27D0">
        <w:pPr>
          <w:pStyle w:val="ab"/>
          <w:jc w:val="center"/>
        </w:pPr>
        <w:r>
          <w:fldChar w:fldCharType="begin"/>
        </w:r>
        <w:r>
          <w:instrText>PAGE   \* MERGEFORMAT</w:instrText>
        </w:r>
        <w:r>
          <w:fldChar w:fldCharType="separate"/>
        </w:r>
        <w:r w:rsidR="00563051" w:rsidRPr="00563051">
          <w:rPr>
            <w:noProof/>
            <w:lang w:val="zh-TW"/>
          </w:rPr>
          <w:t>17</w:t>
        </w:r>
        <w:r>
          <w:fldChar w:fldCharType="end"/>
        </w:r>
      </w:p>
    </w:sdtContent>
  </w:sdt>
  <w:p w14:paraId="2B94D076" w14:textId="77777777" w:rsidR="008B27D0" w:rsidRDefault="008B27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C5179" w14:textId="77777777" w:rsidR="000C7650" w:rsidRDefault="000C7650" w:rsidP="00AC3E13">
      <w:r>
        <w:separator/>
      </w:r>
    </w:p>
  </w:footnote>
  <w:footnote w:type="continuationSeparator" w:id="0">
    <w:p w14:paraId="52D466DE" w14:textId="77777777" w:rsidR="000C7650" w:rsidRDefault="000C7650"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C7650"/>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05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4B73"/>
    <w:rsid w:val="007F6C96"/>
    <w:rsid w:val="00807354"/>
    <w:rsid w:val="0081571F"/>
    <w:rsid w:val="00816871"/>
    <w:rsid w:val="00816A60"/>
    <w:rsid w:val="00816C4F"/>
    <w:rsid w:val="00820363"/>
    <w:rsid w:val="00823C20"/>
    <w:rsid w:val="008270EE"/>
    <w:rsid w:val="00842B86"/>
    <w:rsid w:val="0084396A"/>
    <w:rsid w:val="00846E38"/>
    <w:rsid w:val="00847F4B"/>
    <w:rsid w:val="00850423"/>
    <w:rsid w:val="00851805"/>
    <w:rsid w:val="00852F69"/>
    <w:rsid w:val="00862560"/>
    <w:rsid w:val="00867A75"/>
    <w:rsid w:val="00875669"/>
    <w:rsid w:val="00875894"/>
    <w:rsid w:val="00877E67"/>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16631"/>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97976"/>
    <w:rsid w:val="00FA0759"/>
    <w:rsid w:val="00FA1EED"/>
    <w:rsid w:val="00FA3225"/>
    <w:rsid w:val="00FA68E6"/>
    <w:rsid w:val="00FB10BE"/>
    <w:rsid w:val="00FB7039"/>
    <w:rsid w:val="00FC01D7"/>
    <w:rsid w:val="00FC124A"/>
    <w:rsid w:val="00FC3381"/>
    <w:rsid w:val="00FD0C8E"/>
    <w:rsid w:val="00FD6561"/>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57FBFF85"/>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FA95D5-5868-4092-B40A-E2B3EDA7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1878</Words>
  <Characters>10705</Characters>
  <Application>Microsoft Office Word</Application>
  <DocSecurity>0</DocSecurity>
  <Lines>89</Lines>
  <Paragraphs>25</Paragraphs>
  <ScaleCrop>false</ScaleCrop>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CLPS</cp:lastModifiedBy>
  <cp:revision>2</cp:revision>
  <cp:lastPrinted>2016-06-24T07:47:00Z</cp:lastPrinted>
  <dcterms:created xsi:type="dcterms:W3CDTF">2021-03-16T08:00:00Z</dcterms:created>
  <dcterms:modified xsi:type="dcterms:W3CDTF">2021-03-16T08:00:00Z</dcterms:modified>
</cp:coreProperties>
</file>